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textAlignment w:val="auto"/>
        <w:outlineLvl w:val="9"/>
        <w:rPr>
          <w:rFonts w:hint="default" w:ascii="Times New Roman" w:hAnsi="Times New Roman" w:cs="Times New Roman"/>
          <w:lang w:val="en-US" w:eastAsia="zh-CN"/>
        </w:rPr>
      </w:pPr>
      <w:r>
        <w:rPr>
          <w:rFonts w:hint="default" w:ascii="Times New Roman" w:hAnsi="Times New Roman" w:eastAsia="仿宋_GB2312" w:cs="Times New Roman"/>
          <w:sz w:val="32"/>
          <w:szCs w:val="32"/>
          <w:lang w:eastAsia="zh-CN"/>
        </w:rPr>
        <w:t>附件</w:t>
      </w:r>
      <w:r>
        <w:rPr>
          <w:rFonts w:hint="default" w:ascii="Times New Roman" w:hAnsi="Times New Roman" w:cs="Times New Roman"/>
          <w:lang w:val="en-US" w:eastAsia="zh-CN"/>
        </w:rPr>
        <w:t xml:space="preserve">         </w:t>
      </w:r>
      <w:bookmarkStart w:id="0" w:name="_GoBack"/>
      <w:bookmarkEnd w:id="0"/>
    </w:p>
    <w:p>
      <w:pPr>
        <w:keepNext w:val="0"/>
        <w:keepLines w:val="0"/>
        <w:pageBreakBefore w:val="0"/>
        <w:widowControl w:val="0"/>
        <w:kinsoku/>
        <w:wordWrap/>
        <w:overflowPunct/>
        <w:topLinePunct w:val="0"/>
        <w:autoSpaceDE/>
        <w:autoSpaceDN/>
        <w:bidi w:val="0"/>
        <w:adjustRightInd w:val="0"/>
        <w:snapToGrid w:val="0"/>
        <w:jc w:val="center"/>
        <w:textAlignment w:val="auto"/>
        <w:outlineLvl w:val="9"/>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2</w:t>
      </w:r>
      <w:r>
        <w:rPr>
          <w:rFonts w:hint="default" w:ascii="Times New Roman" w:hAnsi="Times New Roman" w:eastAsia="方正小标宋简体" w:cs="Times New Roman"/>
          <w:sz w:val="44"/>
          <w:szCs w:val="44"/>
        </w:rPr>
        <w:t>年打好污染防治攻坚战专项资金分配计划</w:t>
      </w:r>
      <w:r>
        <w:rPr>
          <w:rFonts w:hint="default" w:ascii="Times New Roman" w:hAnsi="Times New Roman" w:eastAsia="方正小标宋简体" w:cs="Times New Roman"/>
          <w:sz w:val="44"/>
          <w:szCs w:val="44"/>
          <w:lang w:eastAsia="zh-CN"/>
        </w:rPr>
        <w:t>（第一批）</w:t>
      </w:r>
    </w:p>
    <w:p>
      <w:pPr>
        <w:rPr>
          <w:rFonts w:hint="default" w:ascii="Times New Roman" w:hAnsi="Times New Roman" w:cs="Times New Roman"/>
        </w:rPr>
      </w:pPr>
    </w:p>
    <w:tbl>
      <w:tblPr>
        <w:tblStyle w:val="6"/>
        <w:tblW w:w="146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380"/>
        <w:gridCol w:w="1125"/>
        <w:gridCol w:w="2010"/>
        <w:gridCol w:w="6781"/>
        <w:gridCol w:w="117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序号</w:t>
            </w:r>
          </w:p>
        </w:tc>
        <w:tc>
          <w:tcPr>
            <w:tcW w:w="1380" w:type="dxa"/>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资金使用</w:t>
            </w:r>
          </w:p>
          <w:p>
            <w:pPr>
              <w:keepNext w:val="0"/>
              <w:keepLines w:val="0"/>
              <w:widowControl/>
              <w:suppressLineNumbers w:val="0"/>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单位</w:t>
            </w:r>
          </w:p>
        </w:tc>
        <w:tc>
          <w:tcPr>
            <w:tcW w:w="1125" w:type="dxa"/>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所属</w:t>
            </w:r>
          </w:p>
          <w:p>
            <w:pPr>
              <w:keepNext w:val="0"/>
              <w:keepLines w:val="0"/>
              <w:widowControl/>
              <w:suppressLineNumbers w:val="0"/>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区域</w:t>
            </w:r>
          </w:p>
        </w:tc>
        <w:tc>
          <w:tcPr>
            <w:tcW w:w="2010" w:type="dxa"/>
            <w:vAlign w:val="center"/>
          </w:tcPr>
          <w:p>
            <w:pPr>
              <w:keepNext w:val="0"/>
              <w:keepLines w:val="0"/>
              <w:widowControl/>
              <w:suppressLineNumbers w:val="0"/>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项目名称</w:t>
            </w:r>
          </w:p>
        </w:tc>
        <w:tc>
          <w:tcPr>
            <w:tcW w:w="6781" w:type="dxa"/>
            <w:vAlign w:val="center"/>
          </w:tcPr>
          <w:p>
            <w:pPr>
              <w:keepNext w:val="0"/>
              <w:keepLines w:val="0"/>
              <w:widowControl/>
              <w:suppressLineNumbers w:val="0"/>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项目内容及绩效</w:t>
            </w:r>
          </w:p>
        </w:tc>
        <w:tc>
          <w:tcPr>
            <w:tcW w:w="1170" w:type="dxa"/>
            <w:vAlign w:val="center"/>
          </w:tcPr>
          <w:p>
            <w:pPr>
              <w:keepNext w:val="0"/>
              <w:keepLines w:val="0"/>
              <w:widowControl/>
              <w:suppressLineNumbers w:val="0"/>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资金预算  （万元）</w:t>
            </w:r>
          </w:p>
        </w:tc>
        <w:tc>
          <w:tcPr>
            <w:tcW w:w="1559" w:type="dxa"/>
            <w:vAlign w:val="center"/>
          </w:tcPr>
          <w:p>
            <w:pPr>
              <w:keepNext w:val="0"/>
              <w:keepLines w:val="0"/>
              <w:widowControl/>
              <w:suppressLineNumbers w:val="0"/>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1948" w:type="dxa"/>
            <w:gridSpan w:val="5"/>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合   计</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5925</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b/>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1948" w:type="dxa"/>
            <w:gridSpan w:val="5"/>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一、核与辐射安全及污染防治</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900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b w:val="0"/>
                <w:bCs/>
                <w:sz w:val="21"/>
                <w:szCs w:val="21"/>
                <w:vertAlign w:val="baseline"/>
                <w:lang w:val="en-US" w:eastAsia="zh-CN"/>
              </w:rPr>
            </w:pPr>
            <w:r>
              <w:rPr>
                <w:rFonts w:hint="default" w:ascii="Times New Roman" w:hAnsi="Times New Roman" w:cs="Times New Roman"/>
                <w:b w:val="0"/>
                <w:bCs/>
                <w:sz w:val="21"/>
                <w:szCs w:val="21"/>
                <w:vertAlign w:val="baseline"/>
                <w:lang w:val="en-US" w:eastAsia="zh-CN"/>
              </w:rPr>
              <w:t>1</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eastAsia="宋体" w:cs="Times New Roman"/>
                <w:b w:val="0"/>
                <w:bCs/>
                <w:i w:val="0"/>
                <w:color w:val="000000"/>
                <w:kern w:val="0"/>
                <w:sz w:val="21"/>
                <w:szCs w:val="21"/>
                <w:u w:val="none"/>
                <w:lang w:val="en-US" w:eastAsia="zh-CN" w:bidi="ar"/>
              </w:rPr>
            </w:pPr>
            <w:r>
              <w:rPr>
                <w:rFonts w:hint="default" w:ascii="Times New Roman" w:hAnsi="Times New Roman" w:eastAsia="宋体" w:cs="Times New Roman"/>
                <w:b w:val="0"/>
                <w:bCs/>
                <w:i w:val="0"/>
                <w:color w:val="000000"/>
                <w:kern w:val="0"/>
                <w:sz w:val="21"/>
                <w:szCs w:val="21"/>
                <w:u w:val="none"/>
                <w:lang w:val="en-US" w:eastAsia="zh-CN" w:bidi="ar"/>
              </w:rPr>
              <w:t>中核（广东）科技有限公司</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eastAsia="宋体" w:cs="Times New Roman"/>
                <w:b w:val="0"/>
                <w:bCs/>
                <w:i w:val="0"/>
                <w:color w:val="000000"/>
                <w:kern w:val="0"/>
                <w:sz w:val="21"/>
                <w:szCs w:val="21"/>
                <w:u w:val="none"/>
                <w:lang w:val="en-US" w:eastAsia="zh-CN" w:bidi="ar"/>
              </w:rPr>
            </w:pPr>
            <w:r>
              <w:rPr>
                <w:rFonts w:hint="default" w:ascii="Times New Roman" w:hAnsi="Times New Roman" w:eastAsia="宋体" w:cs="Times New Roman"/>
                <w:b w:val="0"/>
                <w:bCs/>
                <w:i w:val="0"/>
                <w:color w:val="000000"/>
                <w:kern w:val="0"/>
                <w:sz w:val="21"/>
                <w:szCs w:val="21"/>
                <w:u w:val="none"/>
                <w:lang w:val="en-US" w:eastAsia="zh-CN" w:bidi="ar"/>
              </w:rPr>
              <w:t>翁源县</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eastAsia="宋体" w:cs="Times New Roman"/>
                <w:b w:val="0"/>
                <w:bCs/>
                <w:i w:val="0"/>
                <w:color w:val="000000"/>
                <w:kern w:val="0"/>
                <w:sz w:val="21"/>
                <w:szCs w:val="21"/>
                <w:u w:val="none"/>
                <w:lang w:val="en-US" w:eastAsia="zh-CN" w:bidi="ar"/>
              </w:rPr>
            </w:pPr>
            <w:r>
              <w:rPr>
                <w:rFonts w:hint="default" w:ascii="Times New Roman" w:hAnsi="Times New Roman" w:eastAsia="宋体" w:cs="Times New Roman"/>
                <w:b w:val="0"/>
                <w:bCs/>
                <w:i w:val="0"/>
                <w:color w:val="000000"/>
                <w:kern w:val="0"/>
                <w:sz w:val="21"/>
                <w:szCs w:val="21"/>
                <w:u w:val="none"/>
                <w:lang w:val="en-US" w:eastAsia="zh-CN" w:bidi="ar"/>
              </w:rPr>
              <w:t>广东省伴生矿绿色循环经济项目（一期）</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b w:val="0"/>
                <w:bCs/>
                <w:i w:val="0"/>
                <w:color w:val="000000"/>
                <w:kern w:val="0"/>
                <w:sz w:val="21"/>
                <w:szCs w:val="21"/>
                <w:u w:val="none"/>
                <w:lang w:val="en-US" w:eastAsia="zh-CN" w:bidi="ar"/>
              </w:rPr>
              <w:t>通过利用自有场地建设伴生矿物料综合处置场，处置广东省内伴生矿物料。</w:t>
            </w:r>
            <w:r>
              <w:rPr>
                <w:rStyle w:val="11"/>
                <w:rFonts w:hint="default" w:ascii="Times New Roman" w:hAnsi="Times New Roman" w:cs="Times New Roman"/>
                <w:b w:val="0"/>
                <w:bCs/>
                <w:sz w:val="21"/>
                <w:szCs w:val="21"/>
                <w:lang w:val="en-US" w:eastAsia="zh-CN" w:bidi="ar"/>
              </w:rPr>
              <w:t xml:space="preserve">     </w:t>
            </w:r>
            <w:r>
              <w:rPr>
                <w:rStyle w:val="11"/>
                <w:rFonts w:hint="default" w:ascii="Times New Roman" w:hAnsi="Times New Roman" w:cs="Times New Roman"/>
                <w:sz w:val="21"/>
                <w:szCs w:val="21"/>
                <w:lang w:val="en-US" w:eastAsia="zh-CN" w:bidi="ar"/>
              </w:rPr>
              <w:t xml:space="preserve">                                                       绩效目标：</w:t>
            </w:r>
            <w:r>
              <w:rPr>
                <w:rStyle w:val="11"/>
                <w:rFonts w:hint="default" w:ascii="Times New Roman" w:hAnsi="Times New Roman" w:cs="Times New Roman"/>
                <w:b w:val="0"/>
                <w:bCs/>
                <w:sz w:val="21"/>
                <w:szCs w:val="21"/>
                <w:lang w:val="en-US" w:eastAsia="zh-CN" w:bidi="ar"/>
              </w:rPr>
              <w:t>2022年完成工程规划、报建、环评等前期工作；启动辅助设施建设并具备一定的伴生放射性物料处置能力。</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900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eastAsia="宋体" w:cs="Times New Roman"/>
                <w:b/>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二、生态环境监测</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1260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2</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广东省韶关环境监测中心站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市本级</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 xml:space="preserve"> </w:t>
            </w:r>
            <w:r>
              <w:rPr>
                <w:rFonts w:hint="default" w:ascii="Times New Roman" w:hAnsi="Times New Roman" w:eastAsia="宋体" w:cs="Times New Roman"/>
                <w:i w:val="0"/>
                <w:color w:val="000000"/>
                <w:kern w:val="0"/>
                <w:sz w:val="21"/>
                <w:szCs w:val="21"/>
                <w:u w:val="none"/>
                <w:lang w:val="en-US" w:eastAsia="zh-CN" w:bidi="ar"/>
              </w:rPr>
              <w:br w:type="textWrapping"/>
            </w:r>
            <w:r>
              <w:rPr>
                <w:rFonts w:hint="default" w:ascii="Times New Roman" w:hAnsi="Times New Roman" w:eastAsia="宋体" w:cs="Times New Roman"/>
                <w:i w:val="0"/>
                <w:color w:val="000000"/>
                <w:kern w:val="0"/>
                <w:sz w:val="21"/>
                <w:szCs w:val="21"/>
                <w:u w:val="none"/>
                <w:lang w:val="en-US" w:eastAsia="zh-CN" w:bidi="ar"/>
              </w:rPr>
              <w:t>2022年生态环境监测网运维项目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eastAsia="宋体" w:cs="Times New Roman"/>
                <w:b w:val="0"/>
                <w:bCs/>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b w:val="0"/>
                <w:bCs/>
                <w:i w:val="0"/>
                <w:color w:val="000000"/>
                <w:kern w:val="0"/>
                <w:sz w:val="21"/>
                <w:szCs w:val="21"/>
                <w:u w:val="none"/>
                <w:lang w:val="en-US" w:eastAsia="zh-CN" w:bidi="ar"/>
              </w:rPr>
              <w:t>1.完成长坝、十里亭、高桥、横石水、孟洲坝、西河、瑶山等7个水站运行基础保障费，含：水、电、网络、防雷、消防、质量控制与质量保证、取水系统、站房及周边基础设施维修维护、水站运行耗材、安保服务、巡检、车辆保障、监测采样差旅、废液处置等费用；2.完成2022年国控土壤、省控土壤、农村土壤及其他相关土壤采样；地表水、地下水、饮用水源水质环境监测；大气环境质量监测；声环境质量监测；农村环境监测；污染源监测；辐射监测；生态遥感监测等环境监测工作任务。按时按质按量完成广东省生态环境监测工作方案的工作及配合市局的监测工作任务,含：水、电、网络、防雷、消防、质量控制与质量保证、站房及周边基础设施维修维护、运行耗材、劳务派遣、巡检、车辆保障、监测采样差旅、废液处置等费用。</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b w:val="0"/>
                <w:bCs/>
                <w:i w:val="0"/>
                <w:color w:val="000000"/>
                <w:kern w:val="0"/>
                <w:sz w:val="21"/>
                <w:szCs w:val="21"/>
                <w:u w:val="none"/>
                <w:lang w:val="en-US" w:eastAsia="zh-CN" w:bidi="ar"/>
              </w:rPr>
              <w:t xml:space="preserve">1.保障长坝、十里亭、高桥、横石水、孟洲坝、西河、瑶山7个水站正常、稳定运行，确保水站的安全及监测数据的有效性和准确性，为水污染防治工作起到良好的预警作用。2.完成2022年国家和省下达的环境监测工作任务；完成广东省生态环境监测工作方案的任务及配合市局的监测工作，维持监测站的日常运行，编制市各类生态环境质量综合分析报告，为政府和有关部门决策及处置突发环境污染事件提供数据支撑。 </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275</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3</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广东省韶关环境监测中心站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市本级</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2022年生态环境监测网能力建设项目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eastAsia="宋体" w:cs="Times New Roman"/>
                <w:b w:val="0"/>
                <w:bCs/>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b w:val="0"/>
                <w:bCs/>
                <w:i w:val="0"/>
                <w:color w:val="000000"/>
                <w:kern w:val="0"/>
                <w:sz w:val="21"/>
                <w:szCs w:val="21"/>
                <w:u w:val="none"/>
                <w:lang w:val="en-US" w:eastAsia="zh-CN" w:bidi="ar"/>
              </w:rPr>
              <w:t>购置流动注射仪六价铬模块、实验室空气净化仪、全PP智能型储药物试剂柜、称量安全工作平台、桌下型储物柜、吊顶空气净化器、溶解氧仪、冰箱、纯水机、地下水采样系统1套、总α总β全自动烧水系统1套、高集成一体式采样枪、采样仪综合校准仪1套、VOCs采样系统1套、噪声综合监测仪2套等设备。</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b w:val="0"/>
                <w:bCs/>
                <w:i w:val="0"/>
                <w:color w:val="000000"/>
                <w:kern w:val="0"/>
                <w:sz w:val="21"/>
                <w:szCs w:val="21"/>
                <w:u w:val="none"/>
                <w:lang w:val="en-US" w:eastAsia="zh-CN" w:bidi="ar"/>
              </w:rPr>
              <w:t xml:space="preserve">驻市站更新淘汰老旧仪器设备等，配置技术先进的、自动化程度高的高端仪器设备，改善地市实验室分析和现场采样及应急硬件，提高工作效率，提升监测能力，促进实现“全省生态环境监测网络体系达到国际一流水平”的规划目标。           </w:t>
            </w:r>
            <w:r>
              <w:rPr>
                <w:rFonts w:hint="default" w:ascii="Times New Roman" w:hAnsi="Times New Roman" w:eastAsia="宋体" w:cs="Times New Roman"/>
                <w:b/>
                <w:i w:val="0"/>
                <w:color w:val="000000"/>
                <w:kern w:val="0"/>
                <w:sz w:val="21"/>
                <w:szCs w:val="21"/>
                <w:u w:val="none"/>
                <w:lang w:val="en-US" w:eastAsia="zh-CN" w:bidi="ar"/>
              </w:rPr>
              <w:t xml:space="preserve">                                                                           </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183</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4</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广东省韶关环境监测中心站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市本级</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2022年大气环境常规监测等业务</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b w:val="0"/>
                <w:bCs/>
                <w:i w:val="0"/>
                <w:color w:val="000000"/>
                <w:kern w:val="0"/>
                <w:sz w:val="21"/>
                <w:szCs w:val="21"/>
                <w:u w:val="none"/>
                <w:lang w:val="en-US" w:eastAsia="zh-CN" w:bidi="ar"/>
              </w:rPr>
              <w:t>2022年大气环境常规监测业务经费，含：水、电、网络、防雷、消防、质量控制与质量保证、站房及周边基础设施维修维护、气站运行耗材、安保服务、巡检、车辆保障、监测采样差旅等费用；完成42家次排污单位抽测。</w:t>
            </w:r>
            <w:r>
              <w:rPr>
                <w:rFonts w:hint="default" w:ascii="Times New Roman" w:hAnsi="Times New Roman" w:eastAsia="宋体" w:cs="Times New Roman"/>
                <w:b w:val="0"/>
                <w:bCs/>
                <w:i w:val="0"/>
                <w:color w:val="000000"/>
                <w:kern w:val="0"/>
                <w:sz w:val="21"/>
                <w:szCs w:val="21"/>
                <w:u w:val="none"/>
                <w:lang w:val="en-US" w:eastAsia="zh-CN" w:bidi="ar"/>
              </w:rPr>
              <w:br w:type="textWrapping"/>
            </w: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b w:val="0"/>
                <w:bCs/>
                <w:i w:val="0"/>
                <w:color w:val="000000"/>
                <w:kern w:val="0"/>
                <w:sz w:val="21"/>
                <w:szCs w:val="21"/>
                <w:u w:val="none"/>
                <w:lang w:val="en-US" w:eastAsia="zh-CN" w:bidi="ar"/>
              </w:rPr>
              <w:t>完成5个国控网空气站点运维保障工作、9个省控网空气站点运维质量检查与评价工作、2台大气应急监测车运行维护工作，1个新区空气质量自动监测站增设工作；通过开展降尘、酸雨例行监测、VOCs专项监测，为大气环境管理提供科学监测数据；确保铁龙学校、韶关学院重金属站稳定运行，监测数据全面有效；确保大数据平台、会商系统和预警预报工作得到不断完善，预警响应更加及时。大气环境常规监测业务项目可为掌握辖区内大气环境质量状况，为大气环境质量管理和改善、考核排名、评估提供数据支撑，为政府和有关部门决策供数据支撑，为韶关市“十四五”臭氧污染治理和碳减排工作开好局。42家排污单位抽测完成率100%，为环境管理提供可靠的监测数据。</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359</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5</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广东省韶关环境监测中心站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市本级</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“十四五”生态环境监测规划能力建设（自动站房改造）</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b w:val="0"/>
                <w:bCs/>
                <w:i w:val="0"/>
                <w:color w:val="000000"/>
                <w:kern w:val="0"/>
                <w:sz w:val="21"/>
                <w:szCs w:val="21"/>
                <w:u w:val="none"/>
                <w:lang w:val="en-US" w:eastAsia="zh-CN" w:bidi="ar"/>
              </w:rPr>
              <w:t>对</w:t>
            </w:r>
            <w:r>
              <w:rPr>
                <w:rFonts w:hint="default" w:ascii="Times New Roman" w:hAnsi="Times New Roman" w:eastAsia="宋体" w:cs="Times New Roman"/>
                <w:i w:val="0"/>
                <w:color w:val="000000"/>
                <w:kern w:val="0"/>
                <w:sz w:val="21"/>
                <w:szCs w:val="21"/>
                <w:u w:val="none"/>
                <w:lang w:val="en-US" w:eastAsia="zh-CN" w:bidi="ar"/>
              </w:rPr>
              <w:t xml:space="preserve">南岭背景站、中古坑区域站、铁龙重金属站、韶关学院重金属站、武江百芒站、浈江十里亭站、曲江监测站、韶关学院站、园林处站、市八中站等10个气站进行站房改造。                                                                     </w:t>
            </w: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b w:val="0"/>
                <w:bCs/>
                <w:i w:val="0"/>
                <w:color w:val="000000"/>
                <w:kern w:val="0"/>
                <w:sz w:val="21"/>
                <w:szCs w:val="21"/>
                <w:u w:val="none"/>
                <w:lang w:val="en-US" w:eastAsia="zh-CN" w:bidi="ar"/>
              </w:rPr>
              <w:t>完成10个存在问题的气站站房改造工作，确保气站基础运行条件完好，气站稳定运行，监测数据的准确性、及时性及可靠性得到保障。</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148</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6</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韶关市生态环境监测站曲江分站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曲江区</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 xml:space="preserve"> 曲江区2022年生态环境监测网运维项目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 xml:space="preserve">2022年水环境样品采集、分析测试及水站基础保障费。                                                                                                       </w:t>
            </w: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完成2个水利水功能区、1个饮用水水源、5个地表水点位监测、1个产业园点位监测。完成龙归省考水站的基础保障。</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40</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7</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韶关市生态环境监测站乐昌分站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乐昌市</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 xml:space="preserve"> 乐昌市2022年生态环境监测网运维项目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 xml:space="preserve">2022年水环境样品采集、分析测试及水站基础保障费。                                                                  </w:t>
            </w: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完成1个水利水功能区、3个饮用水水源、7个地表水点位监测、2个产业园点位监测；完成三溪桥国考水站，昌山电站及昌山省考水站、坪石省控水站的基础保障。</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56</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8</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韶关市生态环境监测站南雄分站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南雄市</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 xml:space="preserve"> 南雄市2022年生态环境监测网运维项目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 xml:space="preserve">2022年水环境样品采集、分析测试及水站基础保障费。                                                                   </w:t>
            </w: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完成1个水利水功能区、8个饮用水水源、3个地表水点位监测、2个产业园点位监测；完成孔江水库上游国考水站，古市省考水站、昆仑省控水站的基础保障。</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56</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9</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韶关市生态环境监测站始兴分站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始兴县</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 xml:space="preserve"> 始兴县2022年生态环境监测网运维项目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 xml:space="preserve">2022年水环境样品采集、分析测试及水站基础保障费。                                                                  </w:t>
            </w: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完成1个水利水功能区、2个饮用水水源、2个地表水点位监测、4个产业园点位监测。完成墨江出口省考水站水站的基础保障。</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25</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10</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韶关市生态环境监测站翁源分站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翁源县</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 xml:space="preserve"> 翁源县2022年生态环境监测网运维项目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 xml:space="preserve">2022年水环境样品采集、分析测试及水站基础保障费。                                                                   </w:t>
            </w: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完成1个水利水功能区、6个饮用水水源、1个地表水点位监测、2个产业园点位监测。完成官渡省考水站水站的基础保障。</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25</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11</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韶关市生态环境监测站新丰分站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新丰县</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 xml:space="preserve"> 新丰县2022年生态环境监测网运维项目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 xml:space="preserve">2022年水环境样品采集、分析测试及水站基础保障费。                                                                   </w:t>
            </w: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完成1个水利水功能区、5个饮用水水源、1个地表水点位监测、4个产业园点位监测。</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12</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12</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韶关市生态环境监测站乳源分站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乳源瑶族自治县</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 xml:space="preserve"> 乳源瑶族自治县2022年生态环境监测网运维项目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 xml:space="preserve">2022年水环境样品采集、分析测试及水站基础保障费。                                                                   </w:t>
            </w: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完成3个水利水功能区、1个饮用水水源、3个地表水点位监测、4个产业园点位监测。完成南水水库出口及桂头省考水站的基础保障。</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45</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13</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韶关市生态环境仁化监测站</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仁化县</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 xml:space="preserve"> 仁化县2022年生态环境监测网运维项目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default" w:ascii="Times New Roman" w:hAnsi="Times New Roman" w:eastAsia="宋体" w:cs="Times New Roman"/>
                <w:b/>
                <w:i w:val="0"/>
                <w:color w:val="000000"/>
                <w:kern w:val="0"/>
                <w:sz w:val="21"/>
                <w:szCs w:val="21"/>
                <w:u w:val="none"/>
                <w:lang w:val="en-US" w:eastAsia="zh-CN" w:bidi="ar"/>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 xml:space="preserve">2022年水环境样品采集、分析测试及水站基础保障费。                                                                  </w:t>
            </w:r>
            <w:r>
              <w:rPr>
                <w:rFonts w:hint="default" w:ascii="Times New Roman" w:hAnsi="Times New Roman" w:eastAsia="宋体" w:cs="Times New Roman"/>
                <w:b/>
                <w:i w:val="0"/>
                <w:color w:val="000000"/>
                <w:kern w:val="0"/>
                <w:sz w:val="21"/>
                <w:szCs w:val="21"/>
                <w:u w:val="none"/>
                <w:lang w:val="en-US" w:eastAsia="zh-CN" w:bidi="ar"/>
              </w:rPr>
              <w:t xml:space="preserve"> 绩效目标：</w:t>
            </w:r>
            <w:r>
              <w:rPr>
                <w:rFonts w:hint="default" w:ascii="Times New Roman" w:hAnsi="Times New Roman" w:eastAsia="宋体" w:cs="Times New Roman"/>
                <w:i w:val="0"/>
                <w:color w:val="000000"/>
                <w:kern w:val="0"/>
                <w:sz w:val="21"/>
                <w:szCs w:val="21"/>
                <w:u w:val="none"/>
                <w:lang w:val="en-US" w:eastAsia="zh-CN" w:bidi="ar"/>
              </w:rPr>
              <w:t>完成2个水利水功能区、4个饮用水水源、5个地表水点位监测、2个产业园点位监测；完成城口国考水站，丹霞省考水站水站的基础保障。</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default" w:ascii="Times New Roman" w:hAnsi="Times New Roman" w:eastAsia="宋体" w:cs="Times New Roman"/>
                <w:i w:val="0"/>
                <w:color w:val="000000"/>
                <w:kern w:val="0"/>
                <w:sz w:val="21"/>
                <w:szCs w:val="21"/>
                <w:u w:val="none"/>
                <w:lang w:val="en-US" w:eastAsia="zh-CN" w:bidi="ar"/>
              </w:rPr>
              <w:t>36</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1948" w:type="dxa"/>
            <w:gridSpan w:val="5"/>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default" w:ascii="Times New Roman" w:hAnsi="Times New Roman" w:cs="Times New Roman"/>
                <w:sz w:val="21"/>
                <w:szCs w:val="21"/>
                <w:vertAlign w:val="baseline"/>
              </w:rPr>
            </w:pPr>
            <w:r>
              <w:rPr>
                <w:rFonts w:hint="default" w:ascii="Times New Roman" w:hAnsi="Times New Roman" w:cs="Times New Roman"/>
                <w:b/>
                <w:bCs/>
                <w:sz w:val="21"/>
                <w:szCs w:val="21"/>
                <w:vertAlign w:val="baseline"/>
                <w:lang w:eastAsia="zh-CN"/>
              </w:rPr>
              <w:t>三、生态环境宣传教育</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b/>
                <w:bCs/>
                <w:sz w:val="21"/>
                <w:szCs w:val="21"/>
                <w:vertAlign w:val="baseline"/>
                <w:lang w:val="en-US" w:eastAsia="zh-CN"/>
              </w:rPr>
              <w:t>115</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14</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韶关市生态环境局</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市本级</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韶关市生态环境局2022年度环保宣传教育项目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 xml:space="preserve">开展六五世界环境日宣传，通过微信、微博公众号及南方+等省、市级的新媒体平台进行宣传、报刊杂志等传统媒体宣传活动。                                                                                    </w:t>
            </w:r>
            <w:r>
              <w:rPr>
                <w:rFonts w:hint="default" w:ascii="Times New Roman" w:hAnsi="Times New Roman" w:eastAsia="宋体" w:cs="Times New Roman"/>
                <w:i w:val="0"/>
                <w:color w:val="000000"/>
                <w:kern w:val="0"/>
                <w:sz w:val="21"/>
                <w:szCs w:val="21"/>
                <w:u w:val="none"/>
                <w:lang w:val="en-US" w:eastAsia="zh-CN" w:bidi="ar"/>
              </w:rPr>
              <w:br w:type="textWrapping"/>
            </w: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加强对生态文明宣传，不断提高公众环保意识，保护生态环境。</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75</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outlineLvl w:val="9"/>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15</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广东曲江罗坑鳄蜥省级自然保护区管理处</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曲江区</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广东曲江罗坑鳄蜥省级自然保护区环境教育基地提升</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完成曲江罗坑鳄蜥省级自然保护区环境教育基地提升工程，主要内容包括教育基地室内外场所改造、组织活动及自然课程开发等。</w:t>
            </w:r>
            <w:r>
              <w:rPr>
                <w:rFonts w:hint="default" w:ascii="Times New Roman" w:hAnsi="Times New Roman" w:eastAsia="宋体" w:cs="Times New Roman"/>
                <w:b/>
                <w:i w:val="0"/>
                <w:color w:val="000000"/>
                <w:kern w:val="0"/>
                <w:sz w:val="21"/>
                <w:szCs w:val="21"/>
                <w:u w:val="none"/>
                <w:lang w:val="en-US" w:eastAsia="zh-CN" w:bidi="ar"/>
              </w:rPr>
              <w:br w:type="textWrapping"/>
            </w:r>
            <w:r>
              <w:rPr>
                <w:rFonts w:hint="default" w:ascii="Times New Roman" w:hAnsi="Times New Roman" w:eastAsia="宋体" w:cs="Times New Roman"/>
                <w:b/>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推进生态环境教育设施和场所建设，通过基地科普作用，引导和培育公众普及生态文化，不断提高公众环境意识。</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40</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outlineLvl w:val="9"/>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5167" w:type="dxa"/>
            <w:gridSpan w:val="4"/>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both"/>
              <w:textAlignment w:val="center"/>
              <w:rPr>
                <w:rFonts w:hint="default" w:ascii="Times New Roman" w:hAnsi="Times New Roman" w:cs="Times New Roman"/>
                <w:sz w:val="21"/>
                <w:szCs w:val="21"/>
                <w:vertAlign w:val="baseline"/>
              </w:rPr>
            </w:pPr>
            <w:r>
              <w:rPr>
                <w:rFonts w:hint="default" w:ascii="Times New Roman" w:hAnsi="Times New Roman" w:eastAsia="宋体" w:cs="Times New Roman"/>
                <w:b/>
                <w:i w:val="0"/>
                <w:color w:val="000000"/>
                <w:kern w:val="0"/>
                <w:sz w:val="21"/>
                <w:szCs w:val="21"/>
                <w:u w:val="none"/>
                <w:lang w:val="en-US" w:eastAsia="zh-CN" w:bidi="ar"/>
              </w:rPr>
              <w:t>四、水污染防治和省内外流域生态补偿</w:t>
            </w:r>
          </w:p>
        </w:tc>
        <w:tc>
          <w:tcPr>
            <w:tcW w:w="6781" w:type="dxa"/>
            <w:vAlign w:val="center"/>
          </w:tcPr>
          <w:p>
            <w:pPr>
              <w:keepNext w:val="0"/>
              <w:keepLines w:val="0"/>
              <w:pageBreakBefore w:val="0"/>
              <w:kinsoku/>
              <w:wordWrap/>
              <w:overflowPunct/>
              <w:topLinePunct w:val="0"/>
              <w:autoSpaceDE/>
              <w:autoSpaceDN/>
              <w:bidi w:val="0"/>
              <w:adjustRightInd w:val="0"/>
              <w:snapToGrid w:val="0"/>
              <w:spacing w:line="360" w:lineRule="exact"/>
              <w:jc w:val="left"/>
              <w:rPr>
                <w:rFonts w:hint="default" w:ascii="Times New Roman" w:hAnsi="Times New Roman" w:cs="Times New Roman"/>
                <w:sz w:val="21"/>
                <w:szCs w:val="21"/>
                <w:vertAlign w:val="baseline"/>
              </w:rPr>
            </w:pP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b/>
                <w:bCs/>
                <w:sz w:val="21"/>
                <w:szCs w:val="21"/>
                <w:vertAlign w:val="baseline"/>
                <w:lang w:val="en-US" w:eastAsia="zh-CN"/>
              </w:rPr>
              <w:t>3650</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16</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韶关市住房和城乡建设管理局（水投集团）</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市本级</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武江支流十里亭段生态环境系统保护修复工程</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b/>
                <w:bCs/>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建设污水管道和雨水管渠，新建一体化泵站，修复现状排水管道。</w:t>
            </w:r>
            <w:r>
              <w:rPr>
                <w:rFonts w:hint="default" w:ascii="Times New Roman" w:hAnsi="Times New Roman" w:eastAsia="宋体" w:cs="Times New Roman"/>
                <w:i w:val="0"/>
                <w:color w:val="000000"/>
                <w:kern w:val="0"/>
                <w:sz w:val="21"/>
                <w:szCs w:val="21"/>
                <w:u w:val="none"/>
                <w:lang w:val="en-US" w:eastAsia="zh-CN" w:bidi="ar"/>
              </w:rPr>
              <w:br w:type="textWrapping"/>
            </w:r>
            <w:r>
              <w:rPr>
                <w:rFonts w:hint="default" w:ascii="Times New Roman" w:hAnsi="Times New Roman" w:eastAsia="宋体" w:cs="Times New Roman"/>
                <w:b/>
                <w:bCs/>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完善十里亭片区污水收集系统。</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3050</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outlineLvl w:val="9"/>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17</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乳源县政府</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乳源县</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乳源瑶族自治县大桥镇红云片区（金泉水库）农村集中式饮用水水源地保护区“划、立、治”项目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b/>
                <w:bCs/>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开展大桥镇红云片区农村集中式饮用水水源保护区划定，设置保护区隔离网、标志牌、警示牌等规范化建设及周边环境整治。</w:t>
            </w:r>
            <w:r>
              <w:rPr>
                <w:rFonts w:hint="default" w:ascii="Times New Roman" w:hAnsi="Times New Roman" w:eastAsia="宋体" w:cs="Times New Roman"/>
                <w:i w:val="0"/>
                <w:color w:val="000000"/>
                <w:kern w:val="0"/>
                <w:sz w:val="21"/>
                <w:szCs w:val="21"/>
                <w:u w:val="none"/>
                <w:lang w:val="en-US" w:eastAsia="zh-CN" w:bidi="ar"/>
              </w:rPr>
              <w:br w:type="textWrapping"/>
            </w:r>
            <w:r>
              <w:rPr>
                <w:rFonts w:hint="default" w:ascii="Times New Roman" w:hAnsi="Times New Roman" w:eastAsia="宋体" w:cs="Times New Roman"/>
                <w:b/>
                <w:bCs/>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确保饮用水水源地水质达标。</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140</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outlineLvl w:val="9"/>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18</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曲江区政府</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曲江区</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韶关市曲江区苍村水库水源保护环境整治工程</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b/>
                <w:bCs/>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在水库水源周边安装防护围网，设立标志牌，安装水源保护环境智能监控系统设备等，编制饮用水源地应急预案。</w:t>
            </w:r>
            <w:r>
              <w:rPr>
                <w:rFonts w:hint="default" w:ascii="Times New Roman" w:hAnsi="Times New Roman" w:eastAsia="宋体" w:cs="Times New Roman"/>
                <w:i w:val="0"/>
                <w:color w:val="000000"/>
                <w:kern w:val="0"/>
                <w:sz w:val="21"/>
                <w:szCs w:val="21"/>
                <w:u w:val="none"/>
                <w:lang w:val="en-US" w:eastAsia="zh-CN" w:bidi="ar"/>
              </w:rPr>
              <w:br w:type="textWrapping"/>
            </w:r>
            <w:r>
              <w:rPr>
                <w:rFonts w:hint="default" w:ascii="Times New Roman" w:hAnsi="Times New Roman" w:eastAsia="宋体" w:cs="Times New Roman"/>
                <w:i w:val="0"/>
                <w:color w:val="000000"/>
                <w:kern w:val="0"/>
                <w:sz w:val="21"/>
                <w:szCs w:val="21"/>
                <w:u w:val="none"/>
                <w:lang w:val="en-US" w:eastAsia="zh-CN" w:bidi="ar"/>
              </w:rPr>
              <w:t>绩效目标：确保饮用水水源地水质达标。</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300</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outlineLvl w:val="9"/>
              <w:rPr>
                <w:rFonts w:hint="default" w:ascii="Times New Roman" w:hAnsi="Times New Roman" w:cs="Times New Roman"/>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19</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乐昌市政府</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乐昌市</w:t>
            </w:r>
          </w:p>
        </w:tc>
        <w:tc>
          <w:tcPr>
            <w:tcW w:w="201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乐昌市白石镇饮用水源保护区规范化建设项目</w:t>
            </w:r>
          </w:p>
        </w:tc>
        <w:tc>
          <w:tcPr>
            <w:tcW w:w="6781"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b/>
                <w:bCs/>
                <w:i w:val="0"/>
                <w:color w:val="000000"/>
                <w:kern w:val="0"/>
                <w:sz w:val="21"/>
                <w:szCs w:val="21"/>
                <w:u w:val="none"/>
                <w:lang w:val="en-US" w:eastAsia="zh-CN" w:bidi="ar"/>
              </w:rPr>
              <w:t>项目内容：</w:t>
            </w:r>
            <w:r>
              <w:rPr>
                <w:rFonts w:hint="default" w:ascii="Times New Roman" w:hAnsi="Times New Roman" w:eastAsia="宋体" w:cs="Times New Roman"/>
                <w:i w:val="0"/>
                <w:color w:val="000000"/>
                <w:kern w:val="0"/>
                <w:sz w:val="21"/>
                <w:szCs w:val="21"/>
                <w:u w:val="none"/>
                <w:lang w:val="en-US" w:eastAsia="zh-CN" w:bidi="ar"/>
              </w:rPr>
              <w:t>设置保护区隔离网、标志牌、警示牌等规范化建设及周边环境整治等内容。</w:t>
            </w:r>
            <w:r>
              <w:rPr>
                <w:rFonts w:hint="default" w:ascii="Times New Roman" w:hAnsi="Times New Roman" w:eastAsia="宋体" w:cs="Times New Roman"/>
                <w:i w:val="0"/>
                <w:color w:val="000000"/>
                <w:kern w:val="0"/>
                <w:sz w:val="21"/>
                <w:szCs w:val="21"/>
                <w:u w:val="none"/>
                <w:lang w:val="en-US" w:eastAsia="zh-CN" w:bidi="ar"/>
              </w:rPr>
              <w:br w:type="textWrapping"/>
            </w:r>
            <w:r>
              <w:rPr>
                <w:rFonts w:hint="default" w:ascii="Times New Roman" w:hAnsi="Times New Roman" w:eastAsia="宋体" w:cs="Times New Roman"/>
                <w:b/>
                <w:bCs/>
                <w:i w:val="0"/>
                <w:color w:val="000000"/>
                <w:kern w:val="0"/>
                <w:sz w:val="21"/>
                <w:szCs w:val="21"/>
                <w:u w:val="none"/>
                <w:lang w:val="en-US" w:eastAsia="zh-CN" w:bidi="ar"/>
              </w:rPr>
              <w:t>绩效目标：</w:t>
            </w:r>
            <w:r>
              <w:rPr>
                <w:rFonts w:hint="default" w:ascii="Times New Roman" w:hAnsi="Times New Roman" w:eastAsia="宋体" w:cs="Times New Roman"/>
                <w:i w:val="0"/>
                <w:color w:val="000000"/>
                <w:kern w:val="0"/>
                <w:sz w:val="21"/>
                <w:szCs w:val="21"/>
                <w:u w:val="none"/>
                <w:lang w:val="en-US" w:eastAsia="zh-CN" w:bidi="ar"/>
              </w:rPr>
              <w:t>确保饮用水水源地水质达标。</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Times New Roman" w:hAnsi="Times New Roman" w:cs="Times New Roman"/>
                <w:sz w:val="21"/>
                <w:szCs w:val="21"/>
                <w:vertAlign w:val="baseline"/>
              </w:rPr>
            </w:pPr>
            <w:r>
              <w:rPr>
                <w:rFonts w:hint="default" w:ascii="Times New Roman" w:hAnsi="Times New Roman" w:eastAsia="宋体" w:cs="Times New Roman"/>
                <w:i w:val="0"/>
                <w:color w:val="000000"/>
                <w:kern w:val="0"/>
                <w:sz w:val="21"/>
                <w:szCs w:val="21"/>
                <w:u w:val="none"/>
                <w:lang w:val="en-US" w:eastAsia="zh-CN" w:bidi="ar"/>
              </w:rPr>
              <w:t>160</w:t>
            </w:r>
          </w:p>
        </w:tc>
        <w:tc>
          <w:tcPr>
            <w:tcW w:w="1559" w:type="dxa"/>
          </w:tcPr>
          <w:p>
            <w:pPr>
              <w:keepNext w:val="0"/>
              <w:keepLines w:val="0"/>
              <w:pageBreakBefore w:val="0"/>
              <w:kinsoku/>
              <w:wordWrap/>
              <w:overflowPunct/>
              <w:topLinePunct w:val="0"/>
              <w:autoSpaceDE/>
              <w:autoSpaceDN/>
              <w:bidi w:val="0"/>
              <w:adjustRightInd w:val="0"/>
              <w:snapToGrid w:val="0"/>
              <w:spacing w:line="360" w:lineRule="exact"/>
              <w:outlineLvl w:val="9"/>
              <w:rPr>
                <w:rFonts w:hint="default" w:ascii="Times New Roman" w:hAnsi="Times New Roman" w:cs="Times New Roman"/>
                <w:sz w:val="21"/>
                <w:szCs w:val="21"/>
                <w:vertAlign w:val="baseline"/>
              </w:rPr>
            </w:pPr>
          </w:p>
        </w:tc>
      </w:tr>
    </w:tbl>
    <w:p>
      <w:pPr>
        <w:keepNext w:val="0"/>
        <w:keepLines w:val="0"/>
        <w:pageBreakBefore w:val="0"/>
        <w:kinsoku/>
        <w:wordWrap/>
        <w:overflowPunct/>
        <w:topLinePunct w:val="0"/>
        <w:autoSpaceDE/>
        <w:autoSpaceDN/>
        <w:bidi w:val="0"/>
        <w:adjustRightInd w:val="0"/>
        <w:snapToGrid w:val="0"/>
        <w:spacing w:line="360" w:lineRule="exact"/>
        <w:rPr>
          <w:rFonts w:hint="default" w:ascii="Times New Roman" w:hAnsi="Times New Roman" w:eastAsia="仿宋_GB2312" w:cs="Times New Roman"/>
          <w:w w:val="85"/>
          <w:sz w:val="32"/>
          <w:szCs w:val="32"/>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93DC5"/>
    <w:rsid w:val="01CB016A"/>
    <w:rsid w:val="02C05A55"/>
    <w:rsid w:val="0C6915E0"/>
    <w:rsid w:val="0E4D54CC"/>
    <w:rsid w:val="0E5D6EEE"/>
    <w:rsid w:val="11561536"/>
    <w:rsid w:val="14092B43"/>
    <w:rsid w:val="18B72A01"/>
    <w:rsid w:val="22805C30"/>
    <w:rsid w:val="22EA7496"/>
    <w:rsid w:val="24821E58"/>
    <w:rsid w:val="24EE7BC4"/>
    <w:rsid w:val="28ED161E"/>
    <w:rsid w:val="2A446AFC"/>
    <w:rsid w:val="2C251717"/>
    <w:rsid w:val="2F251411"/>
    <w:rsid w:val="2F7732EE"/>
    <w:rsid w:val="304A05B1"/>
    <w:rsid w:val="30FD00C6"/>
    <w:rsid w:val="315B51DA"/>
    <w:rsid w:val="35BC0D84"/>
    <w:rsid w:val="35CE631B"/>
    <w:rsid w:val="427265AA"/>
    <w:rsid w:val="435D641A"/>
    <w:rsid w:val="477F2856"/>
    <w:rsid w:val="4B823D21"/>
    <w:rsid w:val="4E493DC5"/>
    <w:rsid w:val="4E6374D8"/>
    <w:rsid w:val="51696551"/>
    <w:rsid w:val="56971232"/>
    <w:rsid w:val="57BE0685"/>
    <w:rsid w:val="57F20012"/>
    <w:rsid w:val="595B3F6E"/>
    <w:rsid w:val="5C5D3688"/>
    <w:rsid w:val="60DE0DEE"/>
    <w:rsid w:val="66043242"/>
    <w:rsid w:val="69B12722"/>
    <w:rsid w:val="69E03B90"/>
    <w:rsid w:val="6C640FA1"/>
    <w:rsid w:val="6E165EEB"/>
    <w:rsid w:val="6F1D6F98"/>
    <w:rsid w:val="6FE27C15"/>
    <w:rsid w:val="6FEC4016"/>
    <w:rsid w:val="755D324C"/>
    <w:rsid w:val="78394063"/>
    <w:rsid w:val="794C2F3D"/>
    <w:rsid w:val="7A30084C"/>
    <w:rsid w:val="7DC90858"/>
    <w:rsid w:val="7EEE5B40"/>
    <w:rsid w:val="FBFF1F5B"/>
    <w:rsid w:val="FF5F3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New New New New New New New New New New New New New New New New New"/>
    <w:qFormat/>
    <w:uiPriority w:val="0"/>
    <w:pPr>
      <w:widowControl w:val="0"/>
      <w:jc w:val="both"/>
    </w:pPr>
    <w:rPr>
      <w:rFonts w:ascii="Times New Roman" w:hAnsi="Times New Roman" w:eastAsia="宋体" w:cstheme="minorBidi"/>
      <w:kern w:val="2"/>
      <w:sz w:val="21"/>
      <w:lang w:val="en-US" w:eastAsia="zh-CN"/>
    </w:rPr>
  </w:style>
  <w:style w:type="paragraph" w:customStyle="1" w:styleId="9">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character" w:customStyle="1" w:styleId="10">
    <w:name w:val="font01"/>
    <w:basedOn w:val="7"/>
    <w:qFormat/>
    <w:uiPriority w:val="0"/>
    <w:rPr>
      <w:rFonts w:hint="eastAsia" w:ascii="宋体" w:hAnsi="宋体" w:eastAsia="宋体" w:cs="宋体"/>
      <w:color w:val="000000"/>
      <w:sz w:val="20"/>
      <w:szCs w:val="20"/>
      <w:u w:val="none"/>
    </w:rPr>
  </w:style>
  <w:style w:type="character" w:customStyle="1" w:styleId="11">
    <w:name w:val="font11"/>
    <w:basedOn w:val="7"/>
    <w:qFormat/>
    <w:uiPriority w:val="0"/>
    <w:rPr>
      <w:rFonts w:hint="eastAsia" w:ascii="宋体" w:hAnsi="宋体" w:eastAsia="宋体" w:cs="宋体"/>
      <w:b/>
      <w:color w:val="000000"/>
      <w:sz w:val="20"/>
      <w:szCs w:val="20"/>
      <w:u w:val="none"/>
    </w:rPr>
  </w:style>
  <w:style w:type="character" w:customStyle="1" w:styleId="12">
    <w:name w:val="font3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2021-04-26T19:40:00Z</dcterms:created>
  <dc:creator>颜瑛</dc:creator>
  <cp:lastModifiedBy>返璞归真</cp:lastModifiedBy>
  <dcterms:modified xsi:type="dcterms:W3CDTF">2022-02-17T08:28:53Z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ribbonExt">
    <vt:lpwstr>{"WPSExtOfficeTab":{"OnGetEnabled":false,"OnGetVisible":false}}</vt:lpwstr>
  </property>
  <property fmtid="{D5CDD505-2E9C-101B-9397-08002B2CF9AE}" pid="4" name="ICV">
    <vt:lpwstr>D2741002AB63418DA3B82763A3C0D9E8</vt:lpwstr>
  </property>
</Properties>
</file>