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Bdr>
          <w:top w:val="none" w:color="auto" w:sz="0" w:space="1"/>
          <w:left w:val="none" w:color="auto" w:sz="0" w:space="4"/>
          <w:bottom w:val="none" w:color="auto" w:sz="0" w:space="1"/>
          <w:right w:val="none" w:color="auto" w:sz="0" w:space="4"/>
        </w:pBdr>
        <w:adjustRightInd w:val="0"/>
        <w:snapToGrid w:val="0"/>
        <w:jc w:val="center"/>
        <w:rPr>
          <w:rFonts w:hint="eastAsia" w:eastAsia="方正小标宋简体"/>
          <w:b/>
          <w:color w:val="000000"/>
          <w:sz w:val="56"/>
          <w:szCs w:val="60"/>
        </w:rPr>
      </w:pPr>
      <w:bookmarkStart w:id="0" w:name="_Toc77585299"/>
      <w:bookmarkStart w:id="1" w:name="_Toc942016"/>
      <w:bookmarkStart w:id="2" w:name="_Toc942345"/>
      <w:bookmarkStart w:id="3" w:name="_Toc1651879"/>
    </w:p>
    <w:p>
      <w:pPr>
        <w:pBdr>
          <w:top w:val="none" w:color="auto" w:sz="0" w:space="1"/>
          <w:left w:val="none" w:color="auto" w:sz="0" w:space="4"/>
          <w:bottom w:val="none" w:color="auto" w:sz="0" w:space="1"/>
          <w:right w:val="none" w:color="auto" w:sz="0" w:space="4"/>
        </w:pBdr>
        <w:adjustRightInd w:val="0"/>
        <w:snapToGrid w:val="0"/>
        <w:jc w:val="center"/>
        <w:rPr>
          <w:rFonts w:hint="eastAsia" w:eastAsia="方正小标宋简体"/>
          <w:b/>
          <w:color w:val="000000"/>
          <w:sz w:val="56"/>
          <w:szCs w:val="60"/>
        </w:rPr>
      </w:pPr>
    </w:p>
    <w:p>
      <w:pPr>
        <w:pBdr>
          <w:top w:val="none" w:color="auto" w:sz="0" w:space="1"/>
          <w:left w:val="none" w:color="auto" w:sz="0" w:space="4"/>
          <w:bottom w:val="none" w:color="auto" w:sz="0" w:space="1"/>
          <w:right w:val="none" w:color="auto" w:sz="0" w:space="4"/>
        </w:pBdr>
        <w:adjustRightInd w:val="0"/>
        <w:snapToGrid w:val="0"/>
        <w:jc w:val="center"/>
        <w:rPr>
          <w:rFonts w:eastAsia="方正小标宋简体"/>
          <w:b/>
          <w:color w:val="000000"/>
          <w:sz w:val="56"/>
          <w:szCs w:val="60"/>
        </w:rPr>
      </w:pPr>
    </w:p>
    <w:p>
      <w:pPr>
        <w:pStyle w:val="2"/>
        <w:rPr>
          <w:rFonts w:eastAsia="方正小标宋简体"/>
          <w:b/>
          <w:color w:val="000000"/>
          <w:sz w:val="56"/>
          <w:szCs w:val="60"/>
        </w:rPr>
      </w:pPr>
    </w:p>
    <w:p>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val="0"/>
        <w:snapToGrid/>
        <w:spacing w:line="360" w:lineRule="auto"/>
        <w:jc w:val="center"/>
        <w:textAlignment w:val="auto"/>
      </w:pPr>
    </w:p>
    <w:p>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val="0"/>
        <w:snapToGrid/>
        <w:spacing w:line="360" w:lineRule="auto"/>
        <w:ind w:firstLine="482"/>
        <w:jc w:val="center"/>
        <w:textAlignment w:val="auto"/>
        <w:outlineLvl w:val="9"/>
        <w:rPr>
          <w:rFonts w:hint="eastAsia" w:ascii="方正小标宋简体" w:hAnsi="方正小标宋简体" w:eastAsia="方正小标宋简体" w:cs="方正小标宋简体"/>
          <w:b/>
          <w:bCs/>
          <w:sz w:val="52"/>
          <w:szCs w:val="52"/>
        </w:rPr>
      </w:pPr>
      <w:r>
        <w:rPr>
          <w:rFonts w:hint="eastAsia" w:ascii="方正小标宋简体" w:hAnsi="方正小标宋简体" w:eastAsia="方正小标宋简体" w:cs="方正小标宋简体"/>
          <w:b/>
          <w:bCs/>
          <w:sz w:val="52"/>
          <w:szCs w:val="52"/>
        </w:rPr>
        <w:t>韶关市暂不开发利用地块土壤</w:t>
      </w:r>
    </w:p>
    <w:p>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val="0"/>
        <w:snapToGrid/>
        <w:spacing w:line="360" w:lineRule="auto"/>
        <w:ind w:firstLine="482"/>
        <w:jc w:val="center"/>
        <w:textAlignment w:val="auto"/>
        <w:outlineLvl w:val="9"/>
        <w:rPr>
          <w:rFonts w:hint="eastAsia" w:ascii="方正小标宋简体" w:hAnsi="方正小标宋简体" w:eastAsia="方正小标宋简体" w:cs="方正小标宋简体"/>
          <w:b/>
          <w:bCs/>
          <w:sz w:val="52"/>
          <w:szCs w:val="52"/>
        </w:rPr>
      </w:pPr>
      <w:r>
        <w:rPr>
          <w:rFonts w:hint="eastAsia" w:ascii="方正小标宋简体" w:hAnsi="方正小标宋简体" w:eastAsia="方正小标宋简体" w:cs="方正小标宋简体"/>
          <w:b/>
          <w:bCs/>
          <w:sz w:val="52"/>
          <w:szCs w:val="52"/>
        </w:rPr>
        <w:t>污染防治管理工作指南</w:t>
      </w:r>
    </w:p>
    <w:p>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val="0"/>
        <w:snapToGrid/>
        <w:spacing w:line="360" w:lineRule="auto"/>
        <w:ind w:firstLine="482"/>
        <w:jc w:val="center"/>
        <w:textAlignment w:val="auto"/>
        <w:outlineLvl w:val="9"/>
        <w:rPr>
          <w:rFonts w:hint="eastAsia" w:ascii="方正小标宋简体" w:hAnsi="方正小标宋简体" w:eastAsia="方正小标宋简体" w:cs="方正小标宋简体"/>
          <w:b/>
          <w:bCs/>
          <w:sz w:val="52"/>
          <w:szCs w:val="52"/>
        </w:rPr>
      </w:pPr>
      <w:r>
        <w:rPr>
          <w:rFonts w:hint="eastAsia" w:ascii="方正小标宋简体" w:hAnsi="方正小标宋简体" w:eastAsia="方正小标宋简体" w:cs="方正小标宋简体"/>
          <w:b/>
          <w:bCs/>
          <w:sz w:val="52"/>
          <w:szCs w:val="52"/>
        </w:rPr>
        <w:t>（试行）</w:t>
      </w:r>
    </w:p>
    <w:p>
      <w:pPr>
        <w:pBdr>
          <w:top w:val="none" w:color="auto" w:sz="0" w:space="1"/>
          <w:left w:val="none" w:color="auto" w:sz="0" w:space="4"/>
          <w:bottom w:val="none" w:color="auto" w:sz="0" w:space="1"/>
          <w:right w:val="none" w:color="auto" w:sz="0" w:space="4"/>
        </w:pBdr>
        <w:ind w:firstLine="480"/>
      </w:pPr>
    </w:p>
    <w:p>
      <w:pPr>
        <w:pBdr>
          <w:top w:val="none" w:color="auto" w:sz="0" w:space="1"/>
          <w:left w:val="none" w:color="auto" w:sz="0" w:space="4"/>
          <w:bottom w:val="none" w:color="auto" w:sz="0" w:space="1"/>
          <w:right w:val="none" w:color="auto" w:sz="0" w:space="4"/>
        </w:pBdr>
        <w:ind w:firstLine="480"/>
      </w:pPr>
    </w:p>
    <w:p>
      <w:pPr>
        <w:pBdr>
          <w:top w:val="none" w:color="auto" w:sz="0" w:space="1"/>
          <w:left w:val="none" w:color="auto" w:sz="0" w:space="4"/>
          <w:bottom w:val="none" w:color="auto" w:sz="0" w:space="1"/>
          <w:right w:val="none" w:color="auto" w:sz="0" w:space="4"/>
        </w:pBdr>
        <w:ind w:firstLine="480"/>
      </w:pPr>
    </w:p>
    <w:p>
      <w:pPr>
        <w:pBdr>
          <w:top w:val="none" w:color="auto" w:sz="0" w:space="1"/>
          <w:left w:val="none" w:color="auto" w:sz="0" w:space="4"/>
          <w:bottom w:val="none" w:color="auto" w:sz="0" w:space="1"/>
          <w:right w:val="none" w:color="auto" w:sz="0" w:space="4"/>
        </w:pBdr>
        <w:ind w:firstLine="480"/>
      </w:pPr>
    </w:p>
    <w:p>
      <w:pPr>
        <w:pBdr>
          <w:top w:val="none" w:color="auto" w:sz="0" w:space="1"/>
          <w:left w:val="none" w:color="auto" w:sz="0" w:space="4"/>
          <w:bottom w:val="none" w:color="auto" w:sz="0" w:space="1"/>
          <w:right w:val="none" w:color="auto" w:sz="0" w:space="4"/>
        </w:pBdr>
        <w:ind w:firstLine="480"/>
      </w:pPr>
    </w:p>
    <w:p>
      <w:pPr>
        <w:pBdr>
          <w:top w:val="none" w:color="auto" w:sz="0" w:space="1"/>
          <w:left w:val="none" w:color="auto" w:sz="0" w:space="4"/>
          <w:bottom w:val="none" w:color="auto" w:sz="0" w:space="1"/>
          <w:right w:val="none" w:color="auto" w:sz="0" w:space="4"/>
        </w:pBdr>
        <w:ind w:firstLine="480"/>
      </w:pPr>
    </w:p>
    <w:p>
      <w:pPr>
        <w:pBdr>
          <w:top w:val="none" w:color="auto" w:sz="0" w:space="1"/>
          <w:left w:val="none" w:color="auto" w:sz="0" w:space="4"/>
          <w:bottom w:val="none" w:color="auto" w:sz="0" w:space="1"/>
          <w:right w:val="none" w:color="auto" w:sz="0" w:space="4"/>
        </w:pBdr>
        <w:ind w:firstLine="480"/>
      </w:pPr>
    </w:p>
    <w:p>
      <w:pPr>
        <w:pBdr>
          <w:top w:val="none" w:color="auto" w:sz="0" w:space="1"/>
          <w:left w:val="none" w:color="auto" w:sz="0" w:space="4"/>
          <w:bottom w:val="none" w:color="auto" w:sz="0" w:space="1"/>
          <w:right w:val="none" w:color="auto" w:sz="0" w:space="4"/>
        </w:pBdr>
        <w:ind w:firstLine="480"/>
      </w:pPr>
    </w:p>
    <w:p>
      <w:pPr>
        <w:pStyle w:val="2"/>
      </w:pPr>
    </w:p>
    <w:p>
      <w:pPr>
        <w:pStyle w:val="2"/>
      </w:pPr>
    </w:p>
    <w:p>
      <w:pPr>
        <w:pStyle w:val="2"/>
        <w:ind w:left="0" w:leftChars="0" w:firstLine="0" w:firstLineChars="0"/>
      </w:pPr>
    </w:p>
    <w:p>
      <w:pPr>
        <w:pStyle w:val="2"/>
        <w:ind w:left="0" w:leftChars="0" w:firstLine="0" w:firstLineChars="0"/>
      </w:pPr>
      <w:bookmarkStart w:id="382" w:name="_GoBack"/>
      <w:bookmarkEnd w:id="382"/>
    </w:p>
    <w:p>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val="0"/>
        <w:snapToGrid w:val="0"/>
        <w:spacing w:line="560" w:lineRule="exact"/>
        <w:jc w:val="center"/>
        <w:textAlignment w:val="auto"/>
        <w:outlineLvl w:val="9"/>
        <w:rPr>
          <w:rFonts w:eastAsia="方正小标宋简体"/>
          <w:color w:val="000000"/>
          <w:sz w:val="44"/>
          <w:szCs w:val="44"/>
        </w:rPr>
      </w:pPr>
      <w:r>
        <w:rPr>
          <w:rFonts w:eastAsia="方正小标宋简体"/>
          <w:color w:val="000000"/>
          <w:sz w:val="44"/>
          <w:szCs w:val="44"/>
        </w:rPr>
        <w:t>委托单位：韶关市生态环境局</w:t>
      </w:r>
    </w:p>
    <w:p>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val="0"/>
        <w:snapToGrid w:val="0"/>
        <w:spacing w:line="560" w:lineRule="exact"/>
        <w:jc w:val="center"/>
        <w:textAlignment w:val="auto"/>
        <w:outlineLvl w:val="9"/>
        <w:rPr>
          <w:rFonts w:eastAsia="方正小标宋简体"/>
          <w:color w:val="000000"/>
          <w:sz w:val="44"/>
          <w:szCs w:val="44"/>
        </w:rPr>
      </w:pPr>
      <w:r>
        <w:rPr>
          <w:rFonts w:eastAsia="方正小标宋简体"/>
          <w:color w:val="000000"/>
          <w:sz w:val="44"/>
          <w:szCs w:val="44"/>
        </w:rPr>
        <w:t>编制单位：广东省环境科学研究院</w:t>
      </w:r>
    </w:p>
    <w:p>
      <w:pPr>
        <w:keepNext w:val="0"/>
        <w:keepLines w:val="0"/>
        <w:pageBreakBefore w:val="0"/>
        <w:widowControl w:val="0"/>
        <w:kinsoku/>
        <w:wordWrap/>
        <w:overflowPunct/>
        <w:topLinePunct w:val="0"/>
        <w:autoSpaceDE/>
        <w:autoSpaceDN/>
        <w:bidi w:val="0"/>
        <w:adjustRightInd w:val="0"/>
        <w:spacing w:line="560" w:lineRule="exact"/>
        <w:jc w:val="center"/>
        <w:textAlignment w:val="auto"/>
        <w:outlineLvl w:val="9"/>
        <w:rPr>
          <w:rFonts w:eastAsia="方正小标宋简体"/>
          <w:sz w:val="44"/>
          <w:szCs w:val="44"/>
        </w:rPr>
      </w:pPr>
      <w:r>
        <w:rPr>
          <w:rFonts w:eastAsia="方正小标宋简体"/>
          <w:color w:val="000000"/>
          <w:sz w:val="44"/>
          <w:szCs w:val="44"/>
        </w:rPr>
        <w:t>二0二一年</w:t>
      </w:r>
      <w:r>
        <w:rPr>
          <w:rFonts w:hint="eastAsia" w:eastAsia="方正小标宋简体"/>
          <w:color w:val="000000"/>
          <w:sz w:val="44"/>
          <w:szCs w:val="44"/>
        </w:rPr>
        <w:t>十</w:t>
      </w:r>
      <w:r>
        <w:rPr>
          <w:rFonts w:eastAsia="方正小标宋简体"/>
          <w:color w:val="000000"/>
          <w:sz w:val="44"/>
          <w:szCs w:val="44"/>
        </w:rPr>
        <w:t>月</w:t>
      </w:r>
    </w:p>
    <w:p>
      <w:pPr>
        <w:snapToGrid w:val="0"/>
        <w:spacing w:line="360" w:lineRule="auto"/>
        <w:jc w:val="center"/>
        <w:rPr>
          <w:rFonts w:ascii="Times New Roman" w:hAnsi="Times New Roman" w:eastAsia="方正小标宋简体" w:cs="Times New Roman"/>
          <w:sz w:val="44"/>
          <w:szCs w:val="44"/>
        </w:rPr>
        <w:sectPr>
          <w:footerReference r:id="rId4" w:type="first"/>
          <w:footerReference r:id="rId3" w:type="even"/>
          <w:pgSz w:w="11906" w:h="16838"/>
          <w:pgMar w:top="1440" w:right="1800" w:bottom="1440" w:left="1800" w:header="851" w:footer="992" w:gutter="0"/>
          <w:pgNumType w:fmt="numberInDash" w:start="1"/>
          <w:cols w:space="720" w:num="1"/>
          <w:docGrid w:type="lines" w:linePitch="326" w:charSpace="0"/>
        </w:sectPr>
      </w:pPr>
    </w:p>
    <w:p>
      <w:pPr>
        <w:adjustRightInd/>
        <w:spacing w:after="600" w:line="600" w:lineRule="exact"/>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韶关市暂不开发利用地块土壤污染防治管理工作指南</w:t>
      </w:r>
    </w:p>
    <w:bookmarkEnd w:id="0"/>
    <w:bookmarkEnd w:id="1"/>
    <w:bookmarkEnd w:id="2"/>
    <w:bookmarkEnd w:id="3"/>
    <w:p>
      <w:pPr>
        <w:pStyle w:val="53"/>
        <w:numPr>
          <w:ilvl w:val="0"/>
          <w:numId w:val="0"/>
        </w:numPr>
        <w:rPr>
          <w:lang w:bidi="ar"/>
        </w:rPr>
      </w:pPr>
      <w:bookmarkStart w:id="4" w:name="_Toc83565243"/>
      <w:bookmarkStart w:id="5" w:name="_Toc83634734"/>
      <w:bookmarkStart w:id="6" w:name="_Toc63547162"/>
      <w:bookmarkStart w:id="7" w:name="_Toc462841087"/>
      <w:bookmarkStart w:id="8" w:name="_Toc83156805"/>
      <w:bookmarkStart w:id="9" w:name="_Toc77932768"/>
      <w:bookmarkStart w:id="10" w:name="_Toc75817438"/>
      <w:bookmarkStart w:id="11" w:name="_Toc463680864"/>
      <w:bookmarkStart w:id="12" w:name="_Toc272405485"/>
      <w:r>
        <w:rPr>
          <w:rFonts w:hint="eastAsia"/>
          <w:lang w:bidi="ar"/>
        </w:rPr>
        <w:t>1</w:t>
      </w:r>
      <w:r>
        <w:rPr>
          <w:lang w:bidi="ar"/>
        </w:rPr>
        <w:t xml:space="preserve">  </w:t>
      </w:r>
      <w:r>
        <w:rPr>
          <w:rFonts w:hint="eastAsia"/>
          <w:lang w:bidi="ar"/>
        </w:rPr>
        <w:t>编制目的</w:t>
      </w:r>
      <w:bookmarkEnd w:id="4"/>
      <w:bookmarkEnd w:id="5"/>
    </w:p>
    <w:p>
      <w:pPr>
        <w:pStyle w:val="53"/>
        <w:numPr>
          <w:ilvl w:val="0"/>
          <w:numId w:val="0"/>
        </w:numPr>
        <w:ind w:firstLine="640" w:firstLineChars="200"/>
        <w:outlineLvl w:val="9"/>
        <w:rPr>
          <w:rFonts w:eastAsia="仿宋_GB2312"/>
        </w:rPr>
      </w:pPr>
      <w:r>
        <w:rPr>
          <w:rFonts w:eastAsia="仿宋_GB2312"/>
        </w:rPr>
        <w:t>为进一步推进韶关市建设用地土壤污染防治管理工作，指导并规范相关部门和土地使用权人落实暂不开发利用地块风险管控措施，依据《中华人民共和国土壤污染防治法》、《污染地块土壤环境管理办法（试行）》和《韶关市土壤污染综合防治管理暂行办法》</w:t>
      </w:r>
      <w:r>
        <w:rPr>
          <w:rFonts w:hint="eastAsia" w:eastAsia="仿宋_GB2312"/>
        </w:rPr>
        <w:t>，结合本市实际编制本指南。</w:t>
      </w:r>
    </w:p>
    <w:p>
      <w:pPr>
        <w:pStyle w:val="53"/>
        <w:numPr>
          <w:ilvl w:val="0"/>
          <w:numId w:val="0"/>
        </w:numPr>
        <w:rPr>
          <w:lang w:bidi="ar"/>
        </w:rPr>
      </w:pPr>
      <w:bookmarkStart w:id="13" w:name="_Toc83634735"/>
      <w:bookmarkStart w:id="14" w:name="_Toc83565244"/>
      <w:r>
        <w:rPr>
          <w:rFonts w:hint="eastAsia"/>
          <w:lang w:bidi="ar"/>
        </w:rPr>
        <w:t>2</w:t>
      </w:r>
      <w:r>
        <w:rPr>
          <w:lang w:bidi="ar"/>
        </w:rPr>
        <w:t xml:space="preserve">  适用范围</w:t>
      </w:r>
      <w:bookmarkEnd w:id="6"/>
      <w:bookmarkEnd w:id="7"/>
      <w:bookmarkEnd w:id="8"/>
      <w:bookmarkEnd w:id="9"/>
      <w:bookmarkEnd w:id="10"/>
      <w:bookmarkEnd w:id="11"/>
      <w:bookmarkEnd w:id="12"/>
      <w:bookmarkEnd w:id="13"/>
      <w:bookmarkEnd w:id="14"/>
    </w:p>
    <w:p>
      <w:pPr>
        <w:pStyle w:val="56"/>
        <w:adjustRightInd/>
        <w:ind w:firstLine="640"/>
        <w:rPr>
          <w:rFonts w:ascii="仿宋_GB2312" w:cs="Times New Roman"/>
        </w:rPr>
      </w:pPr>
      <w:bookmarkStart w:id="15" w:name="OLE_LINK81"/>
      <w:bookmarkStart w:id="16" w:name="OLE_LINK80"/>
      <w:r>
        <w:rPr>
          <w:rFonts w:hint="eastAsia" w:ascii="仿宋_GB2312" w:cs="Times New Roman"/>
        </w:rPr>
        <w:t>本指南适用于韶关市暂不开发利用地块土壤污染防治管理工作。</w:t>
      </w:r>
    </w:p>
    <w:p>
      <w:pPr>
        <w:pStyle w:val="56"/>
        <w:adjustRightInd/>
        <w:ind w:firstLine="640"/>
        <w:rPr>
          <w:rFonts w:ascii="仿宋_GB2312" w:cs="Times New Roman"/>
        </w:rPr>
      </w:pPr>
      <w:r>
        <w:rPr>
          <w:rFonts w:hint="eastAsia" w:ascii="仿宋_GB2312" w:cs="Times New Roman"/>
        </w:rPr>
        <w:t>本指南不适用于涉及放射性行业的暂不开发利用地块土壤污染防治管理工作。</w:t>
      </w:r>
    </w:p>
    <w:bookmarkEnd w:id="15"/>
    <w:bookmarkEnd w:id="16"/>
    <w:p>
      <w:pPr>
        <w:pStyle w:val="53"/>
        <w:numPr>
          <w:ilvl w:val="0"/>
          <w:numId w:val="0"/>
        </w:numPr>
        <w:rPr>
          <w:lang w:bidi="ar"/>
        </w:rPr>
      </w:pPr>
      <w:bookmarkStart w:id="17" w:name="_Toc83565245"/>
      <w:bookmarkStart w:id="18" w:name="_Toc83634736"/>
      <w:bookmarkStart w:id="19" w:name="_Toc77932769"/>
      <w:bookmarkStart w:id="20" w:name="_Toc83156806"/>
      <w:r>
        <w:rPr>
          <w:lang w:bidi="ar"/>
        </w:rPr>
        <w:t>3  规范性引用文件</w:t>
      </w:r>
      <w:bookmarkEnd w:id="17"/>
      <w:bookmarkEnd w:id="18"/>
      <w:bookmarkEnd w:id="19"/>
      <w:bookmarkEnd w:id="20"/>
    </w:p>
    <w:p>
      <w:pPr>
        <w:pStyle w:val="56"/>
        <w:ind w:firstLine="640"/>
        <w:rPr>
          <w:rFonts w:cs="Times New Roman"/>
        </w:rPr>
      </w:pPr>
      <w:r>
        <w:rPr>
          <w:rFonts w:hint="eastAsia" w:cs="Times New Roman"/>
        </w:rPr>
        <w:t>下列文件对于本指南的应用是必不可少的。凡是</w:t>
      </w:r>
      <w:r>
        <w:rPr>
          <w:rFonts w:cs="Times New Roman"/>
        </w:rPr>
        <w:t>注明日期的引用文件，仅所注日期的版本适用于本指南</w:t>
      </w:r>
      <w:r>
        <w:rPr>
          <w:rFonts w:hint="eastAsia" w:cs="Times New Roman"/>
        </w:rPr>
        <w:t>。</w:t>
      </w:r>
      <w:r>
        <w:rPr>
          <w:rFonts w:cs="Times New Roman"/>
        </w:rPr>
        <w:t>凡是不注日期的</w:t>
      </w:r>
      <w:r>
        <w:rPr>
          <w:rFonts w:hint="eastAsia" w:cs="Times New Roman"/>
        </w:rPr>
        <w:t>引用文件</w:t>
      </w:r>
      <w:r>
        <w:rPr>
          <w:rFonts w:cs="Times New Roman"/>
        </w:rPr>
        <w:t>，其</w:t>
      </w:r>
      <w:r>
        <w:rPr>
          <w:rFonts w:hint="eastAsia" w:cs="Times New Roman"/>
        </w:rPr>
        <w:t>最新</w:t>
      </w:r>
      <w:r>
        <w:rPr>
          <w:rFonts w:cs="Times New Roman"/>
        </w:rPr>
        <w:t>版本适用于本指南。</w:t>
      </w:r>
    </w:p>
    <w:p>
      <w:pPr>
        <w:pStyle w:val="69"/>
        <w:numPr>
          <w:ilvl w:val="0"/>
          <w:numId w:val="0"/>
        </w:numPr>
        <w:rPr>
          <w:lang w:bidi="ar"/>
        </w:rPr>
      </w:pPr>
      <w:bookmarkStart w:id="21" w:name="_Toc83156807"/>
      <w:bookmarkStart w:id="22" w:name="_Toc83565246"/>
      <w:bookmarkStart w:id="23" w:name="_Toc77932770"/>
      <w:bookmarkStart w:id="24" w:name="_Toc83634737"/>
      <w:r>
        <w:rPr>
          <w:lang w:bidi="ar"/>
        </w:rPr>
        <w:t>3.1  法律法规、规章</w:t>
      </w:r>
      <w:bookmarkEnd w:id="21"/>
      <w:bookmarkEnd w:id="22"/>
      <w:bookmarkEnd w:id="23"/>
      <w:bookmarkEnd w:id="24"/>
    </w:p>
    <w:p>
      <w:pPr>
        <w:pStyle w:val="56"/>
        <w:ind w:firstLine="640"/>
        <w:rPr>
          <w:rFonts w:cs="Times New Roman"/>
        </w:rPr>
      </w:pPr>
      <w:r>
        <w:rPr>
          <w:rFonts w:cs="Times New Roman"/>
        </w:rPr>
        <w:t>《中华人民共和国土壤污染防治法》</w:t>
      </w:r>
    </w:p>
    <w:p>
      <w:pPr>
        <w:pStyle w:val="56"/>
        <w:ind w:firstLine="640"/>
        <w:rPr>
          <w:rFonts w:cs="Times New Roman"/>
        </w:rPr>
      </w:pPr>
      <w:r>
        <w:rPr>
          <w:rFonts w:cs="Times New Roman"/>
        </w:rPr>
        <w:t>《土壤污染防治行动计划》</w:t>
      </w:r>
    </w:p>
    <w:p>
      <w:pPr>
        <w:pStyle w:val="56"/>
        <w:ind w:firstLine="640"/>
        <w:rPr>
          <w:rFonts w:cs="Times New Roman"/>
        </w:rPr>
      </w:pPr>
      <w:r>
        <w:rPr>
          <w:rFonts w:cs="Times New Roman"/>
        </w:rPr>
        <w:t>《中华人民共和国固体废物污染环境防治法》</w:t>
      </w:r>
    </w:p>
    <w:p>
      <w:pPr>
        <w:pStyle w:val="56"/>
        <w:ind w:firstLine="640"/>
        <w:rPr>
          <w:rFonts w:cs="Times New Roman"/>
        </w:rPr>
      </w:pPr>
      <w:r>
        <w:rPr>
          <w:rFonts w:cs="Times New Roman"/>
        </w:rPr>
        <w:t>《污染地块土壤环境管理办法（试行）》</w:t>
      </w:r>
    </w:p>
    <w:p>
      <w:pPr>
        <w:pStyle w:val="56"/>
        <w:ind w:firstLine="640"/>
        <w:rPr>
          <w:rFonts w:cs="Times New Roman"/>
        </w:rPr>
      </w:pPr>
      <w:r>
        <w:rPr>
          <w:rFonts w:cs="Times New Roman"/>
        </w:rPr>
        <w:t>《广东省实施〈中华人民共和国土壤污染防治法〉办法》</w:t>
      </w:r>
    </w:p>
    <w:p>
      <w:pPr>
        <w:pStyle w:val="56"/>
        <w:ind w:firstLine="640"/>
        <w:rPr>
          <w:rFonts w:cs="Times New Roman"/>
        </w:rPr>
      </w:pPr>
      <w:r>
        <w:rPr>
          <w:rFonts w:cs="Times New Roman"/>
        </w:rPr>
        <w:t>《韶关市土壤污染综合防治管理暂行办法》</w:t>
      </w:r>
    </w:p>
    <w:p>
      <w:pPr>
        <w:pStyle w:val="56"/>
        <w:ind w:firstLine="640"/>
        <w:rPr>
          <w:rFonts w:cs="Times New Roman"/>
        </w:rPr>
      </w:pPr>
      <w:r>
        <w:rPr>
          <w:rFonts w:cs="Times New Roman"/>
        </w:rPr>
        <w:t>《韶关市建设用地土壤环境联动监督管理实施细则（试行）》</w:t>
      </w:r>
    </w:p>
    <w:p>
      <w:pPr>
        <w:pStyle w:val="69"/>
        <w:numPr>
          <w:ilvl w:val="0"/>
          <w:numId w:val="0"/>
        </w:numPr>
        <w:rPr>
          <w:lang w:bidi="ar"/>
        </w:rPr>
      </w:pPr>
      <w:bookmarkStart w:id="25" w:name="_Toc83565247"/>
      <w:bookmarkStart w:id="26" w:name="_Toc77932771"/>
      <w:bookmarkStart w:id="27" w:name="_Toc83156808"/>
      <w:bookmarkStart w:id="28" w:name="_Toc83634738"/>
      <w:r>
        <w:rPr>
          <w:lang w:bidi="ar"/>
        </w:rPr>
        <w:t>3.2  标准、技术规范</w:t>
      </w:r>
      <w:bookmarkEnd w:id="25"/>
      <w:bookmarkEnd w:id="26"/>
      <w:bookmarkEnd w:id="27"/>
      <w:bookmarkEnd w:id="28"/>
    </w:p>
    <w:p>
      <w:pPr>
        <w:pStyle w:val="56"/>
        <w:ind w:firstLine="640"/>
        <w:rPr>
          <w:rFonts w:cs="Times New Roman"/>
        </w:rPr>
      </w:pPr>
      <w:r>
        <w:rPr>
          <w:rFonts w:cs="Times New Roman"/>
        </w:rPr>
        <w:t>《土壤环境质量 建设用地土壤污染风险管控标准（试行）》（GB 36600）</w:t>
      </w:r>
    </w:p>
    <w:p>
      <w:pPr>
        <w:pStyle w:val="56"/>
        <w:ind w:firstLine="640"/>
        <w:rPr>
          <w:rFonts w:cs="Times New Roman"/>
        </w:rPr>
      </w:pPr>
      <w:r>
        <w:rPr>
          <w:rFonts w:hint="eastAsia" w:cs="Times New Roman"/>
        </w:rPr>
        <w:t>《土壤环境监测技术规范》（HJ/T 166）</w:t>
      </w:r>
    </w:p>
    <w:p>
      <w:pPr>
        <w:pStyle w:val="56"/>
        <w:ind w:firstLine="640"/>
        <w:rPr>
          <w:rFonts w:cs="Times New Roman"/>
        </w:rPr>
      </w:pPr>
      <w:r>
        <w:rPr>
          <w:rFonts w:hint="eastAsia" w:cs="Times New Roman"/>
        </w:rPr>
        <w:t>《地下水环境监测技术规范》（HJ/T 164）</w:t>
      </w:r>
    </w:p>
    <w:p>
      <w:pPr>
        <w:pStyle w:val="56"/>
        <w:ind w:firstLine="640"/>
        <w:rPr>
          <w:rFonts w:cs="Times New Roman"/>
        </w:rPr>
      </w:pPr>
      <w:r>
        <w:rPr>
          <w:rFonts w:cs="Times New Roman"/>
        </w:rPr>
        <w:t>《地下水质量标准》（GB/T 14848）</w:t>
      </w:r>
    </w:p>
    <w:p>
      <w:pPr>
        <w:pStyle w:val="56"/>
        <w:ind w:firstLine="640"/>
        <w:rPr>
          <w:rFonts w:cs="Times New Roman"/>
        </w:rPr>
      </w:pPr>
      <w:r>
        <w:rPr>
          <w:rFonts w:cs="Times New Roman"/>
        </w:rPr>
        <w:t>《建设用地土壤污染风险管控和修复术语》（HJ 682）</w:t>
      </w:r>
    </w:p>
    <w:p>
      <w:pPr>
        <w:pStyle w:val="56"/>
        <w:ind w:firstLine="640"/>
        <w:rPr>
          <w:rFonts w:cs="Times New Roman"/>
        </w:rPr>
      </w:pPr>
      <w:r>
        <w:rPr>
          <w:rFonts w:cs="Times New Roman"/>
        </w:rPr>
        <w:t>《建设用地土壤污染状况调查技术导则》（HJ 25.1）</w:t>
      </w:r>
    </w:p>
    <w:p>
      <w:pPr>
        <w:pStyle w:val="56"/>
        <w:ind w:firstLine="640"/>
        <w:rPr>
          <w:rFonts w:cs="Times New Roman"/>
        </w:rPr>
      </w:pPr>
      <w:r>
        <w:rPr>
          <w:rFonts w:cs="Times New Roman"/>
        </w:rPr>
        <w:t>《建设用地土壤污染风险管控和修复监测技术导则》（HJ 25.2）</w:t>
      </w:r>
    </w:p>
    <w:p>
      <w:pPr>
        <w:pStyle w:val="56"/>
        <w:ind w:firstLine="640"/>
        <w:rPr>
          <w:rFonts w:cs="Times New Roman"/>
        </w:rPr>
      </w:pPr>
      <w:r>
        <w:rPr>
          <w:rFonts w:cs="Times New Roman"/>
        </w:rPr>
        <w:t>《污染地块风险管控与土壤修复效果评估技术导则（试行）》（HJ 25.5）</w:t>
      </w:r>
    </w:p>
    <w:p>
      <w:pPr>
        <w:pStyle w:val="56"/>
        <w:ind w:firstLine="640"/>
        <w:rPr>
          <w:rFonts w:cs="Times New Roman"/>
        </w:rPr>
      </w:pPr>
      <w:r>
        <w:rPr>
          <w:rFonts w:cs="Times New Roman"/>
        </w:rPr>
        <w:t>《污染地块地下水修复和风险管控技术导则》（HJ 25.6）</w:t>
      </w:r>
    </w:p>
    <w:p>
      <w:pPr>
        <w:pStyle w:val="56"/>
        <w:ind w:firstLine="640"/>
        <w:rPr>
          <w:rFonts w:cs="Times New Roman"/>
        </w:rPr>
      </w:pPr>
      <w:r>
        <w:rPr>
          <w:rFonts w:hint="eastAsia" w:cs="Times New Roman"/>
        </w:rPr>
        <w:t>《重点行业企业用地调查信息采集技术规定（试行）》</w:t>
      </w:r>
    </w:p>
    <w:p>
      <w:pPr>
        <w:pStyle w:val="56"/>
        <w:ind w:firstLine="640"/>
        <w:rPr>
          <w:rFonts w:cs="Times New Roman"/>
        </w:rPr>
      </w:pPr>
      <w:r>
        <w:rPr>
          <w:rFonts w:cs="Times New Roman"/>
        </w:rPr>
        <w:t>《关闭搬迁企业地块风险筛查与风险分级技术规定</w:t>
      </w:r>
      <w:r>
        <w:rPr>
          <w:rFonts w:hint="eastAsia" w:cs="Times New Roman"/>
        </w:rPr>
        <w:t>（</w:t>
      </w:r>
      <w:r>
        <w:rPr>
          <w:rFonts w:cs="Times New Roman"/>
        </w:rPr>
        <w:t>试行</w:t>
      </w:r>
      <w:r>
        <w:rPr>
          <w:rFonts w:hint="eastAsia" w:cs="Times New Roman"/>
        </w:rPr>
        <w:t>）</w:t>
      </w:r>
      <w:r>
        <w:rPr>
          <w:rFonts w:cs="Times New Roman"/>
        </w:rPr>
        <w:t>》</w:t>
      </w:r>
    </w:p>
    <w:p>
      <w:pPr>
        <w:pStyle w:val="56"/>
        <w:ind w:firstLine="640"/>
        <w:rPr>
          <w:rFonts w:cs="Times New Roman"/>
        </w:rPr>
      </w:pPr>
      <w:r>
        <w:rPr>
          <w:rFonts w:cs="Times New Roman"/>
        </w:rPr>
        <w:t>《地下水污染源防渗技术指南（试行）》</w:t>
      </w:r>
    </w:p>
    <w:p>
      <w:pPr>
        <w:pStyle w:val="56"/>
        <w:ind w:firstLine="640"/>
        <w:rPr>
          <w:rFonts w:cs="Times New Roman"/>
        </w:rPr>
      </w:pPr>
      <w:r>
        <w:rPr>
          <w:rFonts w:cs="Times New Roman"/>
        </w:rPr>
        <w:t>《工业企业场地环境调查评估与修复工作指南（试行）》</w:t>
      </w:r>
    </w:p>
    <w:p>
      <w:pPr>
        <w:pStyle w:val="56"/>
        <w:ind w:firstLine="640"/>
        <w:rPr>
          <w:rFonts w:cs="Times New Roman"/>
        </w:rPr>
      </w:pPr>
      <w:r>
        <w:rPr>
          <w:rFonts w:cs="Times New Roman"/>
        </w:rPr>
        <w:t>《企业拆除活动污染防治技术规定（试行）》</w:t>
      </w:r>
    </w:p>
    <w:p>
      <w:pPr>
        <w:pStyle w:val="56"/>
        <w:ind w:firstLine="640"/>
        <w:rPr>
          <w:rFonts w:cs="Times New Roman"/>
        </w:rPr>
      </w:pPr>
      <w:r>
        <w:rPr>
          <w:rFonts w:cs="Times New Roman"/>
        </w:rPr>
        <w:t>《</w:t>
      </w:r>
      <w:bookmarkStart w:id="29" w:name="_Hlk68257664"/>
      <w:r>
        <w:rPr>
          <w:rFonts w:cs="Times New Roman"/>
        </w:rPr>
        <w:t>关于发布2014年污染场地修复技术目录（第一批）的公告</w:t>
      </w:r>
      <w:bookmarkEnd w:id="29"/>
      <w:r>
        <w:rPr>
          <w:rFonts w:cs="Times New Roman"/>
        </w:rPr>
        <w:t>》</w:t>
      </w:r>
    </w:p>
    <w:p>
      <w:pPr>
        <w:pStyle w:val="56"/>
        <w:ind w:firstLine="640"/>
        <w:rPr>
          <w:rFonts w:cs="Times New Roman"/>
        </w:rPr>
      </w:pPr>
      <w:r>
        <w:rPr>
          <w:rFonts w:cs="Times New Roman"/>
        </w:rPr>
        <w:t>《2020年国家先进污染防治技术目录（固体废物和土壤污染防治领域）》</w:t>
      </w:r>
    </w:p>
    <w:p>
      <w:pPr>
        <w:pStyle w:val="56"/>
        <w:ind w:firstLine="640"/>
        <w:rPr>
          <w:rFonts w:cs="Times New Roman"/>
        </w:rPr>
      </w:pPr>
      <w:r>
        <w:rPr>
          <w:rFonts w:cs="Times New Roman"/>
        </w:rPr>
        <w:t>《广东省建设用地土壤污染修复现场信息公开与标识指南》</w:t>
      </w:r>
    </w:p>
    <w:p>
      <w:pPr>
        <w:pStyle w:val="56"/>
        <w:ind w:firstLine="640"/>
        <w:rPr>
          <w:rFonts w:cs="Times New Roman"/>
        </w:rPr>
      </w:pPr>
      <w:r>
        <w:rPr>
          <w:rFonts w:cs="Times New Roman"/>
        </w:rPr>
        <w:t>《韶关市污染地块土壤污染治理与修复技术手册》</w:t>
      </w:r>
    </w:p>
    <w:p>
      <w:pPr>
        <w:pStyle w:val="56"/>
        <w:ind w:firstLine="640"/>
        <w:rPr>
          <w:rFonts w:cs="Times New Roman"/>
        </w:rPr>
      </w:pPr>
      <w:r>
        <w:rPr>
          <w:rFonts w:cs="Times New Roman"/>
        </w:rPr>
        <w:t>《韶关市污染地块风险管控工作指引（试行）》</w:t>
      </w:r>
    </w:p>
    <w:p>
      <w:pPr>
        <w:pStyle w:val="56"/>
        <w:ind w:firstLine="640"/>
        <w:rPr>
          <w:rFonts w:cs="Times New Roman"/>
        </w:rPr>
      </w:pPr>
      <w:r>
        <w:rPr>
          <w:rFonts w:hint="eastAsia" w:cs="Times New Roman"/>
        </w:rPr>
        <w:t>《施工现场临时建筑物技术规范》（JGJ 188）</w:t>
      </w:r>
    </w:p>
    <w:p>
      <w:pPr>
        <w:pStyle w:val="56"/>
        <w:ind w:firstLine="640"/>
        <w:rPr>
          <w:rFonts w:cs="Times New Roman"/>
        </w:rPr>
      </w:pPr>
      <w:r>
        <w:rPr>
          <w:rFonts w:hint="eastAsia" w:cs="Times New Roman"/>
        </w:rPr>
        <w:t>《施工企业安全生产评价标准》（JGJ/T 77）</w:t>
      </w:r>
    </w:p>
    <w:p>
      <w:pPr>
        <w:pStyle w:val="56"/>
        <w:ind w:firstLine="640"/>
        <w:rPr>
          <w:rFonts w:cs="Times New Roman"/>
        </w:rPr>
      </w:pPr>
      <w:r>
        <w:rPr>
          <w:rFonts w:hint="eastAsia" w:cs="Times New Roman"/>
        </w:rPr>
        <w:t>《砌体结构设计规范》（GB 50003）</w:t>
      </w:r>
    </w:p>
    <w:p>
      <w:pPr>
        <w:pStyle w:val="56"/>
        <w:ind w:firstLine="640"/>
        <w:rPr>
          <w:rFonts w:cs="Times New Roman"/>
        </w:rPr>
      </w:pPr>
      <w:r>
        <w:rPr>
          <w:rFonts w:cs="Times New Roman"/>
        </w:rPr>
        <w:t>《砌体工程施工质量验收规范》（GB 50203）</w:t>
      </w:r>
    </w:p>
    <w:p>
      <w:pPr>
        <w:pStyle w:val="56"/>
        <w:ind w:firstLine="640"/>
        <w:rPr>
          <w:rFonts w:cs="Times New Roman"/>
        </w:rPr>
      </w:pPr>
      <w:r>
        <w:rPr>
          <w:rFonts w:cs="Times New Roman"/>
        </w:rPr>
        <w:t>《聚乙烯隔离墩通用技术条件》（GB/T 34847）</w:t>
      </w:r>
    </w:p>
    <w:p>
      <w:pPr>
        <w:pStyle w:val="56"/>
        <w:ind w:firstLine="640"/>
        <w:rPr>
          <w:rFonts w:cs="Times New Roman"/>
        </w:rPr>
      </w:pPr>
      <w:r>
        <w:rPr>
          <w:rFonts w:cs="Times New Roman"/>
        </w:rPr>
        <w:t>《土工合成材料 非织造布复合土工膜》（GB/T 17642）</w:t>
      </w:r>
    </w:p>
    <w:p>
      <w:pPr>
        <w:pStyle w:val="56"/>
        <w:ind w:firstLine="640"/>
        <w:rPr>
          <w:rFonts w:cs="Times New Roman"/>
        </w:rPr>
      </w:pPr>
      <w:r>
        <w:rPr>
          <w:rFonts w:cs="Times New Roman"/>
        </w:rPr>
        <w:t>《土工合成材料 聚乙烯土工膜》（GB/T 17643）</w:t>
      </w:r>
    </w:p>
    <w:p>
      <w:pPr>
        <w:pStyle w:val="56"/>
        <w:ind w:firstLine="640"/>
        <w:rPr>
          <w:rFonts w:cs="Times New Roman"/>
        </w:rPr>
      </w:pPr>
      <w:r>
        <w:rPr>
          <w:rFonts w:cs="Times New Roman"/>
        </w:rPr>
        <w:t>《聚乙烯（PE）土工膜防渗工程技术规范》（SL/T 231）</w:t>
      </w:r>
    </w:p>
    <w:p>
      <w:pPr>
        <w:pStyle w:val="56"/>
        <w:ind w:firstLine="640"/>
        <w:rPr>
          <w:rFonts w:cs="Times New Roman"/>
        </w:rPr>
      </w:pPr>
      <w:r>
        <w:rPr>
          <w:rFonts w:cs="Times New Roman"/>
        </w:rPr>
        <w:t>《土工合成材料应用技术规范》（GB 50290）</w:t>
      </w:r>
    </w:p>
    <w:p>
      <w:pPr>
        <w:pStyle w:val="56"/>
        <w:ind w:firstLine="640"/>
        <w:rPr>
          <w:rFonts w:cs="Times New Roman"/>
        </w:rPr>
      </w:pPr>
      <w:r>
        <w:rPr>
          <w:rFonts w:cs="Times New Roman"/>
        </w:rPr>
        <w:t>《污染地块风险管控技术指南</w:t>
      </w:r>
      <w:r>
        <w:rPr>
          <w:rFonts w:hint="eastAsia" w:cs="Times New Roman"/>
        </w:rPr>
        <w:t>—</w:t>
      </w:r>
      <w:r>
        <w:rPr>
          <w:rFonts w:cs="Times New Roman"/>
        </w:rPr>
        <w:t>阻隔技术（试行）（征求意见稿）》</w:t>
      </w:r>
    </w:p>
    <w:p>
      <w:pPr>
        <w:pStyle w:val="53"/>
        <w:numPr>
          <w:ilvl w:val="0"/>
          <w:numId w:val="0"/>
        </w:numPr>
        <w:rPr>
          <w:lang w:bidi="ar"/>
        </w:rPr>
      </w:pPr>
      <w:bookmarkStart w:id="30" w:name="_Toc217988951"/>
      <w:bookmarkEnd w:id="30"/>
      <w:bookmarkStart w:id="31" w:name="_Toc217988946"/>
      <w:bookmarkEnd w:id="31"/>
      <w:bookmarkStart w:id="32" w:name="_Toc217988949"/>
      <w:bookmarkEnd w:id="32"/>
      <w:bookmarkStart w:id="33" w:name="_Toc468869012"/>
      <w:bookmarkEnd w:id="33"/>
      <w:bookmarkStart w:id="34" w:name="_Toc217988950"/>
      <w:bookmarkEnd w:id="34"/>
      <w:bookmarkStart w:id="35" w:name="_Toc218267761"/>
      <w:bookmarkEnd w:id="35"/>
      <w:bookmarkStart w:id="36" w:name="_Toc69994178"/>
      <w:bookmarkEnd w:id="36"/>
      <w:bookmarkStart w:id="37" w:name="_Toc217988948"/>
      <w:bookmarkEnd w:id="37"/>
      <w:bookmarkStart w:id="38" w:name="_Toc468869011"/>
      <w:bookmarkEnd w:id="38"/>
      <w:bookmarkStart w:id="39" w:name="_Toc217988945"/>
      <w:bookmarkEnd w:id="39"/>
      <w:bookmarkStart w:id="40" w:name="_Toc217988947"/>
      <w:bookmarkEnd w:id="40"/>
      <w:bookmarkStart w:id="41" w:name="_Toc468107820"/>
      <w:bookmarkEnd w:id="41"/>
      <w:bookmarkStart w:id="42" w:name="_Toc69994033"/>
      <w:bookmarkEnd w:id="42"/>
      <w:bookmarkStart w:id="43" w:name="_Toc69994032"/>
      <w:bookmarkEnd w:id="43"/>
      <w:bookmarkStart w:id="44" w:name="_Toc69994177"/>
      <w:bookmarkEnd w:id="44"/>
      <w:bookmarkStart w:id="45" w:name="_Toc468107821"/>
      <w:bookmarkEnd w:id="45"/>
      <w:bookmarkStart w:id="46" w:name="_Toc468869001"/>
      <w:bookmarkEnd w:id="46"/>
      <w:bookmarkStart w:id="47" w:name="_Toc83634739"/>
      <w:bookmarkStart w:id="48" w:name="_Toc83565248"/>
      <w:bookmarkStart w:id="49" w:name="_Toc75817447"/>
      <w:bookmarkStart w:id="50" w:name="_Toc83156809"/>
      <w:bookmarkStart w:id="51" w:name="_Toc63547165"/>
      <w:bookmarkStart w:id="52" w:name="_Toc77932779"/>
      <w:r>
        <w:rPr>
          <w:lang w:bidi="ar"/>
        </w:rPr>
        <w:t>4  工作程序</w:t>
      </w:r>
      <w:bookmarkEnd w:id="47"/>
      <w:bookmarkEnd w:id="48"/>
      <w:bookmarkEnd w:id="49"/>
      <w:bookmarkEnd w:id="50"/>
      <w:bookmarkEnd w:id="51"/>
      <w:bookmarkEnd w:id="52"/>
    </w:p>
    <w:p>
      <w:pPr>
        <w:pStyle w:val="56"/>
        <w:ind w:firstLine="640"/>
        <w:rPr>
          <w:rFonts w:cs="Times New Roman"/>
          <w:shd w:val="clear" w:color="auto" w:fill="FFFFFF"/>
          <w:lang w:bidi="ar"/>
        </w:rPr>
      </w:pPr>
      <w:r>
        <w:rPr>
          <w:rFonts w:cs="Times New Roman"/>
          <w:shd w:val="clear" w:color="auto" w:fill="FFFFFF"/>
          <w:lang w:bidi="ar"/>
        </w:rPr>
        <w:t>暂不开发利用地块土壤污染防治管理主要包括：建立暂不开发利用地块清单、暂不开发利用地块关注度分级、暂不开发利用地块分级管控与后期监管等工作。具体流程见图1。</w:t>
      </w:r>
    </w:p>
    <w:p>
      <w:pPr>
        <w:pStyle w:val="134"/>
        <w:rPr>
          <w:shd w:val="clear" w:color="auto" w:fill="FFFFFF"/>
          <w:lang w:bidi="ar"/>
        </w:rPr>
      </w:pPr>
      <w:r>
        <w:rPr>
          <w:shd w:val="clear" w:color="auto" w:fill="FFFFFF"/>
        </w:rPr>
        <mc:AlternateContent>
          <mc:Choice Requires="wpc">
            <w:drawing>
              <wp:inline distT="0" distB="0" distL="0" distR="0">
                <wp:extent cx="5219700" cy="5721350"/>
                <wp:effectExtent l="0" t="0" r="0" b="0"/>
                <wp:docPr id="38" name="画布 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Text Box 4"/>
                        <wps:cNvSpPr txBox="1">
                          <a:spLocks noChangeArrowheads="1"/>
                        </wps:cNvSpPr>
                        <wps:spPr bwMode="auto">
                          <a:xfrm>
                            <a:off x="161925" y="554785"/>
                            <a:ext cx="1332000" cy="504000"/>
                          </a:xfrm>
                          <a:prstGeom prst="rect">
                            <a:avLst/>
                          </a:prstGeom>
                          <a:solidFill>
                            <a:srgbClr val="FFFFFF"/>
                          </a:solidFill>
                          <a:ln w="9525">
                            <a:solidFill>
                              <a:srgbClr val="000000"/>
                            </a:solidFill>
                            <a:miter lim="800000"/>
                          </a:ln>
                        </wps:spPr>
                        <wps:txbx>
                          <w:txbxContent>
                            <w:p>
                              <w:pPr>
                                <w:pStyle w:val="134"/>
                                <w:rPr>
                                  <w:rFonts w:eastAsia="仿宋_GB2312"/>
                                </w:rPr>
                              </w:pPr>
                              <w:r>
                                <w:rPr>
                                  <w:rFonts w:eastAsia="仿宋_GB2312"/>
                                </w:rPr>
                                <w:t>建立暂不开发利用地块清单</w:t>
                              </w:r>
                            </w:p>
                          </w:txbxContent>
                        </wps:txbx>
                        <wps:bodyPr rot="0" vert="horz" wrap="square" lIns="91440" tIns="45720" rIns="91440" bIns="45720" anchor="ctr" anchorCtr="0" upright="1">
                          <a:noAutofit/>
                        </wps:bodyPr>
                      </wps:wsp>
                      <wps:wsp>
                        <wps:cNvPr id="5" name="Text Box 5"/>
                        <wps:cNvSpPr txBox="1">
                          <a:spLocks noChangeArrowheads="1"/>
                        </wps:cNvSpPr>
                        <wps:spPr bwMode="auto">
                          <a:xfrm>
                            <a:off x="2013636" y="125352"/>
                            <a:ext cx="1260000" cy="504000"/>
                          </a:xfrm>
                          <a:prstGeom prst="rect">
                            <a:avLst/>
                          </a:prstGeom>
                          <a:solidFill>
                            <a:srgbClr val="FFFFFF"/>
                          </a:solidFill>
                          <a:ln w="9525">
                            <a:solidFill>
                              <a:srgbClr val="000000"/>
                            </a:solidFill>
                            <a:miter lim="800000"/>
                          </a:ln>
                        </wps:spPr>
                        <wps:txbx>
                          <w:txbxContent>
                            <w:p>
                              <w:pPr>
                                <w:pStyle w:val="134"/>
                                <w:rPr>
                                  <w:rFonts w:eastAsia="仿宋_GB2312"/>
                                </w:rPr>
                              </w:pPr>
                              <w:r>
                                <w:rPr>
                                  <w:rFonts w:eastAsia="仿宋_GB2312"/>
                                </w:rPr>
                                <w:t>初步</w:t>
                              </w:r>
                              <w:r>
                                <w:rPr>
                                  <w:rFonts w:hint="eastAsia" w:eastAsia="仿宋_GB2312"/>
                                </w:rPr>
                                <w:t>确定</w:t>
                              </w:r>
                              <w:r>
                                <w:rPr>
                                  <w:rFonts w:eastAsia="仿宋_GB2312"/>
                                </w:rPr>
                                <w:t>暂不开发利用地块清单</w:t>
                              </w:r>
                            </w:p>
                          </w:txbxContent>
                        </wps:txbx>
                        <wps:bodyPr rot="0" vert="horz" wrap="square" lIns="91440" tIns="45720" rIns="91440" bIns="45720" anchor="ctr" anchorCtr="0" upright="1">
                          <a:noAutofit/>
                        </wps:bodyPr>
                      </wps:wsp>
                      <wps:wsp>
                        <wps:cNvPr id="6" name="Text Box 6"/>
                        <wps:cNvSpPr txBox="1">
                          <a:spLocks noChangeArrowheads="1"/>
                        </wps:cNvSpPr>
                        <wps:spPr bwMode="auto">
                          <a:xfrm>
                            <a:off x="3784651" y="125352"/>
                            <a:ext cx="1260000" cy="504000"/>
                          </a:xfrm>
                          <a:prstGeom prst="rect">
                            <a:avLst/>
                          </a:prstGeom>
                          <a:solidFill>
                            <a:srgbClr val="FFFFFF"/>
                          </a:solidFill>
                          <a:ln w="9525">
                            <a:solidFill>
                              <a:srgbClr val="000000"/>
                            </a:solidFill>
                            <a:miter lim="800000"/>
                          </a:ln>
                        </wps:spPr>
                        <wps:txbx>
                          <w:txbxContent>
                            <w:p>
                              <w:pPr>
                                <w:pStyle w:val="134"/>
                                <w:rPr>
                                  <w:rFonts w:eastAsia="仿宋_GB2312"/>
                                </w:rPr>
                              </w:pPr>
                              <w:r>
                                <w:rPr>
                                  <w:rFonts w:eastAsia="仿宋_GB2312"/>
                                </w:rPr>
                                <w:t>市生态环境局、市自然资源局负责</w:t>
                              </w:r>
                            </w:p>
                          </w:txbxContent>
                        </wps:txbx>
                        <wps:bodyPr rot="0" vert="horz" wrap="square" lIns="91440" tIns="45720" rIns="91440" bIns="45720" anchor="ctr" anchorCtr="0" upright="1">
                          <a:noAutofit/>
                        </wps:bodyPr>
                      </wps:wsp>
                      <wps:wsp>
                        <wps:cNvPr id="8" name="Text Box 7"/>
                        <wps:cNvSpPr txBox="1">
                          <a:spLocks noChangeArrowheads="1"/>
                        </wps:cNvSpPr>
                        <wps:spPr bwMode="auto">
                          <a:xfrm>
                            <a:off x="2013636" y="971400"/>
                            <a:ext cx="1260000" cy="504000"/>
                          </a:xfrm>
                          <a:prstGeom prst="rect">
                            <a:avLst/>
                          </a:prstGeom>
                          <a:solidFill>
                            <a:srgbClr val="FFFFFF"/>
                          </a:solidFill>
                          <a:ln w="9525">
                            <a:solidFill>
                              <a:srgbClr val="000000"/>
                            </a:solidFill>
                            <a:miter lim="800000"/>
                          </a:ln>
                        </wps:spPr>
                        <wps:txbx>
                          <w:txbxContent>
                            <w:p>
                              <w:pPr>
                                <w:pStyle w:val="134"/>
                                <w:rPr>
                                  <w:rFonts w:eastAsia="仿宋_GB2312"/>
                                </w:rPr>
                              </w:pPr>
                              <w:r>
                                <w:rPr>
                                  <w:rFonts w:hint="eastAsia" w:eastAsia="仿宋_GB2312"/>
                                </w:rPr>
                                <w:t>最终确定</w:t>
                              </w:r>
                              <w:r>
                                <w:rPr>
                                  <w:rFonts w:eastAsia="仿宋_GB2312"/>
                                </w:rPr>
                                <w:t>暂不开发利用地块清单</w:t>
                              </w:r>
                            </w:p>
                          </w:txbxContent>
                        </wps:txbx>
                        <wps:bodyPr rot="0" vert="horz" wrap="square" lIns="91440" tIns="45720" rIns="91440" bIns="45720" anchor="ctr" anchorCtr="0" upright="1">
                          <a:noAutofit/>
                        </wps:bodyPr>
                      </wps:wsp>
                      <wps:wsp>
                        <wps:cNvPr id="10" name="Text Box 8"/>
                        <wps:cNvSpPr txBox="1">
                          <a:spLocks noChangeArrowheads="1"/>
                        </wps:cNvSpPr>
                        <wps:spPr bwMode="auto">
                          <a:xfrm>
                            <a:off x="3785921" y="970130"/>
                            <a:ext cx="1260000" cy="504000"/>
                          </a:xfrm>
                          <a:prstGeom prst="rect">
                            <a:avLst/>
                          </a:prstGeom>
                          <a:solidFill>
                            <a:srgbClr val="FFFFFF"/>
                          </a:solidFill>
                          <a:ln w="9525">
                            <a:solidFill>
                              <a:srgbClr val="000000"/>
                            </a:solidFill>
                            <a:miter lim="800000"/>
                          </a:ln>
                        </wps:spPr>
                        <wps:txbx>
                          <w:txbxContent>
                            <w:p>
                              <w:pPr>
                                <w:pStyle w:val="134"/>
                                <w:rPr>
                                  <w:rFonts w:eastAsia="仿宋_GB2312"/>
                                </w:rPr>
                              </w:pPr>
                              <w:r>
                                <w:rPr>
                                  <w:rFonts w:eastAsia="仿宋_GB2312"/>
                                </w:rPr>
                                <w:t>土地使用权人</w:t>
                              </w:r>
                            </w:p>
                            <w:p>
                              <w:pPr>
                                <w:pStyle w:val="134"/>
                                <w:rPr>
                                  <w:rFonts w:eastAsia="仿宋_GB2312"/>
                                </w:rPr>
                              </w:pPr>
                              <w:r>
                                <w:rPr>
                                  <w:rFonts w:eastAsia="仿宋_GB2312"/>
                                </w:rPr>
                                <w:t>负责</w:t>
                              </w:r>
                            </w:p>
                          </w:txbxContent>
                        </wps:txbx>
                        <wps:bodyPr rot="0" vert="horz" wrap="square" lIns="91440" tIns="45720" rIns="91440" bIns="45720" anchor="ctr" anchorCtr="0" upright="1">
                          <a:noAutofit/>
                        </wps:bodyPr>
                      </wps:wsp>
                      <wps:wsp>
                        <wps:cNvPr id="11" name="Text Box 9"/>
                        <wps:cNvSpPr txBox="1">
                          <a:spLocks noChangeArrowheads="1"/>
                        </wps:cNvSpPr>
                        <wps:spPr bwMode="auto">
                          <a:xfrm>
                            <a:off x="162560" y="2531972"/>
                            <a:ext cx="1332000" cy="504000"/>
                          </a:xfrm>
                          <a:prstGeom prst="rect">
                            <a:avLst/>
                          </a:prstGeom>
                          <a:solidFill>
                            <a:srgbClr val="FFFFFF"/>
                          </a:solidFill>
                          <a:ln w="9525">
                            <a:solidFill>
                              <a:srgbClr val="000000"/>
                            </a:solidFill>
                            <a:miter lim="800000"/>
                          </a:ln>
                        </wps:spPr>
                        <wps:txbx>
                          <w:txbxContent>
                            <w:p>
                              <w:pPr>
                                <w:pStyle w:val="134"/>
                                <w:rPr>
                                  <w:rFonts w:eastAsia="仿宋_GB2312"/>
                                </w:rPr>
                              </w:pPr>
                              <w:r>
                                <w:rPr>
                                  <w:rFonts w:eastAsia="仿宋_GB2312"/>
                                </w:rPr>
                                <w:t>暂不开发利用地块关注度分级</w:t>
                              </w:r>
                            </w:p>
                          </w:txbxContent>
                        </wps:txbx>
                        <wps:bodyPr rot="0" vert="horz" wrap="square" lIns="91440" tIns="45720" rIns="91440" bIns="45720" anchor="ctr" anchorCtr="0" upright="1">
                          <a:noAutofit/>
                        </wps:bodyPr>
                      </wps:wsp>
                      <wps:wsp>
                        <wps:cNvPr id="14" name="Text Box 10"/>
                        <wps:cNvSpPr txBox="1">
                          <a:spLocks noChangeArrowheads="1"/>
                        </wps:cNvSpPr>
                        <wps:spPr bwMode="auto">
                          <a:xfrm>
                            <a:off x="2013636" y="2096240"/>
                            <a:ext cx="1260000" cy="504000"/>
                          </a:xfrm>
                          <a:prstGeom prst="rect">
                            <a:avLst/>
                          </a:prstGeom>
                          <a:solidFill>
                            <a:srgbClr val="FFFFFF"/>
                          </a:solidFill>
                          <a:ln w="9525">
                            <a:solidFill>
                              <a:srgbClr val="000000"/>
                            </a:solidFill>
                            <a:miter lim="800000"/>
                          </a:ln>
                        </wps:spPr>
                        <wps:txbx>
                          <w:txbxContent>
                            <w:p>
                              <w:pPr>
                                <w:pStyle w:val="134"/>
                                <w:rPr>
                                  <w:rFonts w:eastAsia="仿宋_GB2312"/>
                                </w:rPr>
                              </w:pPr>
                              <w:r>
                                <w:rPr>
                                  <w:rFonts w:hint="eastAsia" w:eastAsia="仿宋_GB2312"/>
                                </w:rPr>
                                <w:t>填报</w:t>
                              </w:r>
                              <w:r>
                                <w:rPr>
                                  <w:rFonts w:eastAsia="仿宋_GB2312"/>
                                </w:rPr>
                                <w:t>地块基础信息</w:t>
                              </w:r>
                              <w:r>
                                <w:rPr>
                                  <w:rFonts w:hint="eastAsia" w:eastAsia="仿宋_GB2312"/>
                                </w:rPr>
                                <w:t>表</w:t>
                              </w:r>
                            </w:p>
                          </w:txbxContent>
                        </wps:txbx>
                        <wps:bodyPr rot="0" vert="horz" wrap="square" lIns="91440" tIns="45720" rIns="91440" bIns="45720" anchor="ctr" anchorCtr="0" upright="1">
                          <a:noAutofit/>
                        </wps:bodyPr>
                      </wps:wsp>
                      <wps:wsp>
                        <wps:cNvPr id="15" name="Text Box 11"/>
                        <wps:cNvSpPr txBox="1">
                          <a:spLocks noChangeArrowheads="1"/>
                        </wps:cNvSpPr>
                        <wps:spPr bwMode="auto">
                          <a:xfrm>
                            <a:off x="3785286" y="2096240"/>
                            <a:ext cx="1260000" cy="504000"/>
                          </a:xfrm>
                          <a:prstGeom prst="rect">
                            <a:avLst/>
                          </a:prstGeom>
                          <a:solidFill>
                            <a:srgbClr val="FFFFFF"/>
                          </a:solidFill>
                          <a:ln w="9525">
                            <a:solidFill>
                              <a:srgbClr val="000000"/>
                            </a:solidFill>
                            <a:miter lim="800000"/>
                          </a:ln>
                        </wps:spPr>
                        <wps:txbx>
                          <w:txbxContent>
                            <w:p>
                              <w:pPr>
                                <w:pStyle w:val="134"/>
                                <w:rPr>
                                  <w:rFonts w:eastAsia="仿宋_GB2312"/>
                                </w:rPr>
                              </w:pPr>
                              <w:r>
                                <w:rPr>
                                  <w:rFonts w:eastAsia="仿宋_GB2312"/>
                                </w:rPr>
                                <w:t>土地使用权人</w:t>
                              </w:r>
                            </w:p>
                            <w:p>
                              <w:pPr>
                                <w:pStyle w:val="134"/>
                                <w:rPr>
                                  <w:rFonts w:eastAsia="仿宋_GB2312"/>
                                </w:rPr>
                              </w:pPr>
                              <w:r>
                                <w:rPr>
                                  <w:rFonts w:eastAsia="仿宋_GB2312"/>
                                </w:rPr>
                                <w:t>负责</w:t>
                              </w:r>
                            </w:p>
                          </w:txbxContent>
                        </wps:txbx>
                        <wps:bodyPr rot="0" vert="horz" wrap="square" lIns="91440" tIns="45720" rIns="91440" bIns="45720" anchor="ctr" anchorCtr="0" upright="1">
                          <a:noAutofit/>
                        </wps:bodyPr>
                      </wps:wsp>
                      <wps:wsp>
                        <wps:cNvPr id="16" name="Text Box 12"/>
                        <wps:cNvSpPr txBox="1">
                          <a:spLocks noChangeArrowheads="1"/>
                        </wps:cNvSpPr>
                        <wps:spPr bwMode="auto">
                          <a:xfrm>
                            <a:off x="2012366" y="2923547"/>
                            <a:ext cx="1260000" cy="504000"/>
                          </a:xfrm>
                          <a:prstGeom prst="rect">
                            <a:avLst/>
                          </a:prstGeom>
                          <a:solidFill>
                            <a:srgbClr val="FFFFFF"/>
                          </a:solidFill>
                          <a:ln w="9525">
                            <a:solidFill>
                              <a:srgbClr val="000000"/>
                            </a:solidFill>
                            <a:miter lim="800000"/>
                          </a:ln>
                        </wps:spPr>
                        <wps:txbx>
                          <w:txbxContent>
                            <w:p>
                              <w:pPr>
                                <w:pStyle w:val="134"/>
                                <w:rPr>
                                  <w:rFonts w:eastAsia="仿宋_GB2312"/>
                                </w:rPr>
                              </w:pPr>
                              <w:r>
                                <w:rPr>
                                  <w:rFonts w:eastAsia="仿宋_GB2312"/>
                                </w:rPr>
                                <w:t>地块关注度</w:t>
                              </w:r>
                              <w:r>
                                <w:rPr>
                                  <w:rFonts w:hint="eastAsia" w:eastAsia="仿宋_GB2312"/>
                                </w:rPr>
                                <w:t>分级</w:t>
                              </w:r>
                            </w:p>
                          </w:txbxContent>
                        </wps:txbx>
                        <wps:bodyPr rot="0" vert="horz" wrap="square" lIns="91440" tIns="45720" rIns="91440" bIns="45720" anchor="ctr" anchorCtr="0" upright="1">
                          <a:noAutofit/>
                        </wps:bodyPr>
                      </wps:wsp>
                      <wps:wsp>
                        <wps:cNvPr id="17" name="Text Box 13"/>
                        <wps:cNvSpPr txBox="1">
                          <a:spLocks noChangeArrowheads="1"/>
                        </wps:cNvSpPr>
                        <wps:spPr bwMode="auto">
                          <a:xfrm>
                            <a:off x="3785921" y="2916562"/>
                            <a:ext cx="1260000" cy="504000"/>
                          </a:xfrm>
                          <a:prstGeom prst="rect">
                            <a:avLst/>
                          </a:prstGeom>
                          <a:solidFill>
                            <a:srgbClr val="FFFFFF"/>
                          </a:solidFill>
                          <a:ln w="9525">
                            <a:solidFill>
                              <a:srgbClr val="000000"/>
                            </a:solidFill>
                            <a:miter lim="800000"/>
                          </a:ln>
                        </wps:spPr>
                        <wps:txbx>
                          <w:txbxContent>
                            <w:p>
                              <w:pPr>
                                <w:pStyle w:val="134"/>
                                <w:rPr>
                                  <w:rFonts w:eastAsia="仿宋_GB2312"/>
                                </w:rPr>
                              </w:pPr>
                              <w:r>
                                <w:rPr>
                                  <w:rFonts w:eastAsia="仿宋_GB2312"/>
                                </w:rPr>
                                <w:t>市生态环境局</w:t>
                              </w:r>
                            </w:p>
                            <w:p>
                              <w:pPr>
                                <w:pStyle w:val="134"/>
                                <w:rPr>
                                  <w:rFonts w:eastAsia="仿宋_GB2312"/>
                                </w:rPr>
                              </w:pPr>
                              <w:r>
                                <w:rPr>
                                  <w:rFonts w:eastAsia="仿宋_GB2312"/>
                                </w:rPr>
                                <w:t>负责</w:t>
                              </w:r>
                            </w:p>
                          </w:txbxContent>
                        </wps:txbx>
                        <wps:bodyPr rot="0" vert="horz" wrap="square" lIns="91440" tIns="45720" rIns="91440" bIns="45720" anchor="ctr" anchorCtr="0" upright="1">
                          <a:noAutofit/>
                        </wps:bodyPr>
                      </wps:wsp>
                      <wps:wsp>
                        <wps:cNvPr id="18" name="AutoShape 14"/>
                        <wps:cNvCnPr>
                          <a:cxnSpLocks noChangeShapeType="1"/>
                          <a:stCxn id="5" idx="2"/>
                          <a:endCxn id="8" idx="0"/>
                        </wps:cNvCnPr>
                        <wps:spPr bwMode="auto">
                          <a:xfrm>
                            <a:off x="2643636" y="629352"/>
                            <a:ext cx="0" cy="342048"/>
                          </a:xfrm>
                          <a:prstGeom prst="straightConnector1">
                            <a:avLst/>
                          </a:prstGeom>
                          <a:noFill/>
                          <a:ln w="9525">
                            <a:solidFill>
                              <a:srgbClr val="000000"/>
                            </a:solidFill>
                            <a:round/>
                            <a:tailEnd type="triangle" w="med" len="med"/>
                          </a:ln>
                        </wps:spPr>
                        <wps:bodyPr/>
                      </wps:wsp>
                      <wps:wsp>
                        <wps:cNvPr id="19" name="AutoShape 15"/>
                        <wps:cNvCnPr>
                          <a:cxnSpLocks noChangeShapeType="1"/>
                          <a:stCxn id="8" idx="2"/>
                          <a:endCxn id="14" idx="0"/>
                        </wps:cNvCnPr>
                        <wps:spPr bwMode="auto">
                          <a:xfrm>
                            <a:off x="2643636" y="1475400"/>
                            <a:ext cx="0" cy="620840"/>
                          </a:xfrm>
                          <a:prstGeom prst="straightConnector1">
                            <a:avLst/>
                          </a:prstGeom>
                          <a:noFill/>
                          <a:ln w="9525">
                            <a:solidFill>
                              <a:srgbClr val="000000"/>
                            </a:solidFill>
                            <a:round/>
                            <a:tailEnd type="triangle" w="med" len="med"/>
                          </a:ln>
                        </wps:spPr>
                        <wps:bodyPr/>
                      </wps:wsp>
                      <wps:wsp>
                        <wps:cNvPr id="20" name="AutoShape 16"/>
                        <wps:cNvCnPr>
                          <a:cxnSpLocks noChangeShapeType="1"/>
                          <a:stCxn id="14" idx="2"/>
                          <a:endCxn id="16" idx="0"/>
                        </wps:cNvCnPr>
                        <wps:spPr bwMode="auto">
                          <a:xfrm flipH="1">
                            <a:off x="2642366" y="2600240"/>
                            <a:ext cx="1270" cy="323307"/>
                          </a:xfrm>
                          <a:prstGeom prst="straightConnector1">
                            <a:avLst/>
                          </a:prstGeom>
                          <a:noFill/>
                          <a:ln w="9525">
                            <a:solidFill>
                              <a:srgbClr val="000000"/>
                            </a:solidFill>
                            <a:round/>
                            <a:tailEnd type="triangle" w="med" len="med"/>
                          </a:ln>
                        </wps:spPr>
                        <wps:bodyPr/>
                      </wps:wsp>
                      <wps:wsp>
                        <wps:cNvPr id="21" name="Text Box 17"/>
                        <wps:cNvSpPr txBox="1">
                          <a:spLocks noChangeArrowheads="1"/>
                        </wps:cNvSpPr>
                        <wps:spPr bwMode="auto">
                          <a:xfrm>
                            <a:off x="2012366" y="4032379"/>
                            <a:ext cx="1260000" cy="504000"/>
                          </a:xfrm>
                          <a:prstGeom prst="rect">
                            <a:avLst/>
                          </a:prstGeom>
                          <a:solidFill>
                            <a:srgbClr val="FFFFFF"/>
                          </a:solidFill>
                          <a:ln w="9525">
                            <a:solidFill>
                              <a:srgbClr val="000000"/>
                            </a:solidFill>
                            <a:miter lim="800000"/>
                          </a:ln>
                        </wps:spPr>
                        <wps:txbx>
                          <w:txbxContent>
                            <w:p>
                              <w:pPr>
                                <w:pStyle w:val="134"/>
                                <w:rPr>
                                  <w:rFonts w:eastAsia="仿宋_GB2312"/>
                                </w:rPr>
                              </w:pPr>
                              <w:r>
                                <w:rPr>
                                  <w:rFonts w:eastAsia="仿宋_GB2312"/>
                                </w:rPr>
                                <w:t>编制、</w:t>
                              </w:r>
                              <w:r>
                                <w:rPr>
                                  <w:rFonts w:hint="eastAsia" w:eastAsia="仿宋_GB2312"/>
                                </w:rPr>
                                <w:t>备案、实施风险管控方案</w:t>
                              </w:r>
                            </w:p>
                          </w:txbxContent>
                        </wps:txbx>
                        <wps:bodyPr rot="0" vert="horz" wrap="square" lIns="91440" tIns="45720" rIns="91440" bIns="45720" anchor="ctr" anchorCtr="0" upright="1">
                          <a:noAutofit/>
                        </wps:bodyPr>
                      </wps:wsp>
                      <wps:wsp>
                        <wps:cNvPr id="24" name="Text Box 18"/>
                        <wps:cNvSpPr txBox="1">
                          <a:spLocks noChangeArrowheads="1"/>
                        </wps:cNvSpPr>
                        <wps:spPr bwMode="auto">
                          <a:xfrm>
                            <a:off x="2013636" y="5082584"/>
                            <a:ext cx="1260000" cy="504000"/>
                          </a:xfrm>
                          <a:prstGeom prst="rect">
                            <a:avLst/>
                          </a:prstGeom>
                          <a:solidFill>
                            <a:srgbClr val="FFFFFF"/>
                          </a:solidFill>
                          <a:ln w="9525">
                            <a:solidFill>
                              <a:srgbClr val="000000"/>
                            </a:solidFill>
                            <a:miter lim="800000"/>
                          </a:ln>
                        </wps:spPr>
                        <wps:txbx>
                          <w:txbxContent>
                            <w:p>
                              <w:pPr>
                                <w:pStyle w:val="134"/>
                                <w:rPr>
                                  <w:rFonts w:eastAsia="仿宋_GB2312"/>
                                </w:rPr>
                              </w:pPr>
                              <w:r>
                                <w:rPr>
                                  <w:rFonts w:hint="eastAsia" w:eastAsia="仿宋_GB2312"/>
                                </w:rPr>
                                <w:t>地块</w:t>
                              </w:r>
                              <w:r>
                                <w:rPr>
                                  <w:rFonts w:eastAsia="仿宋_GB2312"/>
                                </w:rPr>
                                <w:t>巡查、日常维护、</w:t>
                              </w:r>
                              <w:r>
                                <w:rPr>
                                  <w:rFonts w:hint="eastAsia" w:eastAsia="仿宋_GB2312"/>
                                </w:rPr>
                                <w:t>定期归档</w:t>
                              </w:r>
                            </w:p>
                          </w:txbxContent>
                        </wps:txbx>
                        <wps:bodyPr rot="0" vert="horz" wrap="square" lIns="91440" tIns="45720" rIns="91440" bIns="45720" anchor="ctr" anchorCtr="0" upright="1">
                          <a:noAutofit/>
                        </wps:bodyPr>
                      </wps:wsp>
                      <wps:wsp>
                        <wps:cNvPr id="25" name="Text Box 19"/>
                        <wps:cNvSpPr txBox="1">
                          <a:spLocks noChangeArrowheads="1"/>
                        </wps:cNvSpPr>
                        <wps:spPr bwMode="auto">
                          <a:xfrm>
                            <a:off x="162560" y="4009677"/>
                            <a:ext cx="1332000" cy="504000"/>
                          </a:xfrm>
                          <a:prstGeom prst="rect">
                            <a:avLst/>
                          </a:prstGeom>
                          <a:solidFill>
                            <a:srgbClr val="FFFFFF"/>
                          </a:solidFill>
                          <a:ln w="9525">
                            <a:solidFill>
                              <a:srgbClr val="000000"/>
                            </a:solidFill>
                            <a:miter lim="800000"/>
                          </a:ln>
                        </wps:spPr>
                        <wps:txbx>
                          <w:txbxContent>
                            <w:p>
                              <w:pPr>
                                <w:pStyle w:val="134"/>
                                <w:rPr>
                                  <w:rFonts w:eastAsia="仿宋_GB2312"/>
                                </w:rPr>
                              </w:pPr>
                              <w:r>
                                <w:rPr>
                                  <w:rFonts w:eastAsia="仿宋_GB2312"/>
                                </w:rPr>
                                <w:t>暂不开发利用地块</w:t>
                              </w:r>
                              <w:r>
                                <w:rPr>
                                  <w:rFonts w:hint="eastAsia" w:eastAsia="仿宋_GB2312"/>
                                </w:rPr>
                                <w:t>分级</w:t>
                              </w:r>
                              <w:r>
                                <w:rPr>
                                  <w:rFonts w:eastAsia="仿宋_GB2312"/>
                                </w:rPr>
                                <w:t>管控</w:t>
                              </w:r>
                            </w:p>
                          </w:txbxContent>
                        </wps:txbx>
                        <wps:bodyPr rot="0" vert="horz" wrap="square" lIns="91440" tIns="45720" rIns="91440" bIns="45720" anchor="ctr" anchorCtr="0" upright="1">
                          <a:noAutofit/>
                        </wps:bodyPr>
                      </wps:wsp>
                      <wps:wsp>
                        <wps:cNvPr id="26" name="Text Box 20"/>
                        <wps:cNvSpPr txBox="1">
                          <a:spLocks noChangeArrowheads="1"/>
                        </wps:cNvSpPr>
                        <wps:spPr bwMode="auto">
                          <a:xfrm>
                            <a:off x="3786178" y="4020805"/>
                            <a:ext cx="1260000" cy="504000"/>
                          </a:xfrm>
                          <a:prstGeom prst="rect">
                            <a:avLst/>
                          </a:prstGeom>
                          <a:solidFill>
                            <a:srgbClr val="FFFFFF"/>
                          </a:solidFill>
                          <a:ln w="9525">
                            <a:solidFill>
                              <a:srgbClr val="000000"/>
                            </a:solidFill>
                            <a:miter lim="800000"/>
                          </a:ln>
                        </wps:spPr>
                        <wps:txbx>
                          <w:txbxContent>
                            <w:p>
                              <w:pPr>
                                <w:pStyle w:val="134"/>
                                <w:rPr>
                                  <w:rFonts w:eastAsia="仿宋_GB2312"/>
                                </w:rPr>
                              </w:pPr>
                              <w:r>
                                <w:rPr>
                                  <w:rFonts w:eastAsia="仿宋_GB2312"/>
                                </w:rPr>
                                <w:t>土地使用权人</w:t>
                              </w:r>
                            </w:p>
                            <w:p>
                              <w:pPr>
                                <w:pStyle w:val="134"/>
                                <w:rPr>
                                  <w:rFonts w:eastAsia="仿宋_GB2312"/>
                                </w:rPr>
                              </w:pPr>
                              <w:r>
                                <w:rPr>
                                  <w:rFonts w:eastAsia="仿宋_GB2312"/>
                                </w:rPr>
                                <w:t>负责</w:t>
                              </w:r>
                            </w:p>
                          </w:txbxContent>
                        </wps:txbx>
                        <wps:bodyPr rot="0" vert="horz" wrap="square" lIns="91440" tIns="45720" rIns="91440" bIns="45720" anchor="ctr" anchorCtr="0" upright="1">
                          <a:noAutofit/>
                        </wps:bodyPr>
                      </wps:wsp>
                      <wps:wsp>
                        <wps:cNvPr id="28" name="AutoShape 21"/>
                        <wps:cNvCnPr>
                          <a:cxnSpLocks noChangeShapeType="1"/>
                          <a:stCxn id="16" idx="2"/>
                          <a:endCxn id="21" idx="0"/>
                        </wps:cNvCnPr>
                        <wps:spPr bwMode="auto">
                          <a:xfrm>
                            <a:off x="2642366" y="3427547"/>
                            <a:ext cx="0" cy="604832"/>
                          </a:xfrm>
                          <a:prstGeom prst="straightConnector1">
                            <a:avLst/>
                          </a:prstGeom>
                          <a:noFill/>
                          <a:ln w="9525">
                            <a:solidFill>
                              <a:srgbClr val="000000"/>
                            </a:solidFill>
                            <a:round/>
                            <a:tailEnd type="triangle" w="med" len="med"/>
                          </a:ln>
                        </wps:spPr>
                        <wps:bodyPr/>
                      </wps:wsp>
                      <wps:wsp>
                        <wps:cNvPr id="29" name="AutoShape 22"/>
                        <wps:cNvCnPr>
                          <a:cxnSpLocks noChangeShapeType="1"/>
                          <a:stCxn id="21" idx="2"/>
                          <a:endCxn id="24" idx="0"/>
                        </wps:cNvCnPr>
                        <wps:spPr bwMode="auto">
                          <a:xfrm>
                            <a:off x="2642366" y="4536379"/>
                            <a:ext cx="1270" cy="546205"/>
                          </a:xfrm>
                          <a:prstGeom prst="straightConnector1">
                            <a:avLst/>
                          </a:prstGeom>
                          <a:noFill/>
                          <a:ln w="9525">
                            <a:solidFill>
                              <a:srgbClr val="000000"/>
                            </a:solidFill>
                            <a:round/>
                            <a:tailEnd type="triangle" w="med" len="med"/>
                          </a:ln>
                        </wps:spPr>
                        <wps:bodyPr/>
                      </wps:wsp>
                      <wps:wsp>
                        <wps:cNvPr id="30" name="AutoShape 23"/>
                        <wps:cNvCnPr>
                          <a:cxnSpLocks noChangeShapeType="1"/>
                          <a:stCxn id="8" idx="3"/>
                          <a:endCxn id="10" idx="1"/>
                        </wps:cNvCnPr>
                        <wps:spPr bwMode="auto">
                          <a:xfrm flipV="1">
                            <a:off x="3273636" y="1222130"/>
                            <a:ext cx="512285" cy="1270"/>
                          </a:xfrm>
                          <a:prstGeom prst="straightConnector1">
                            <a:avLst/>
                          </a:prstGeom>
                          <a:noFill/>
                          <a:ln w="9525">
                            <a:solidFill>
                              <a:srgbClr val="000000"/>
                            </a:solidFill>
                            <a:prstDash val="dashDot"/>
                            <a:round/>
                          </a:ln>
                        </wps:spPr>
                        <wps:bodyPr/>
                      </wps:wsp>
                      <wps:wsp>
                        <wps:cNvPr id="31" name="AutoShape 24"/>
                        <wps:cNvCnPr>
                          <a:cxnSpLocks noChangeShapeType="1"/>
                          <a:stCxn id="5" idx="3"/>
                          <a:endCxn id="6" idx="1"/>
                        </wps:cNvCnPr>
                        <wps:spPr bwMode="auto">
                          <a:xfrm>
                            <a:off x="3273636" y="377352"/>
                            <a:ext cx="511015" cy="0"/>
                          </a:xfrm>
                          <a:prstGeom prst="straightConnector1">
                            <a:avLst/>
                          </a:prstGeom>
                          <a:noFill/>
                          <a:ln w="9525">
                            <a:solidFill>
                              <a:srgbClr val="000000"/>
                            </a:solidFill>
                            <a:prstDash val="dashDot"/>
                            <a:round/>
                          </a:ln>
                        </wps:spPr>
                        <wps:bodyPr/>
                      </wps:wsp>
                      <wps:wsp>
                        <wps:cNvPr id="32" name="AutoShape 25"/>
                        <wps:cNvCnPr>
                          <a:cxnSpLocks noChangeShapeType="1"/>
                          <a:stCxn id="14" idx="3"/>
                          <a:endCxn id="15" idx="1"/>
                        </wps:cNvCnPr>
                        <wps:spPr bwMode="auto">
                          <a:xfrm>
                            <a:off x="3273636" y="2348240"/>
                            <a:ext cx="511650" cy="0"/>
                          </a:xfrm>
                          <a:prstGeom prst="straightConnector1">
                            <a:avLst/>
                          </a:prstGeom>
                          <a:noFill/>
                          <a:ln w="9525">
                            <a:solidFill>
                              <a:srgbClr val="000000"/>
                            </a:solidFill>
                            <a:prstDash val="dashDot"/>
                            <a:round/>
                          </a:ln>
                        </wps:spPr>
                        <wps:bodyPr/>
                      </wps:wsp>
                      <wps:wsp>
                        <wps:cNvPr id="33" name="AutoShape 26"/>
                        <wps:cNvCnPr>
                          <a:cxnSpLocks noChangeShapeType="1"/>
                          <a:stCxn id="16" idx="3"/>
                          <a:endCxn id="17" idx="1"/>
                        </wps:cNvCnPr>
                        <wps:spPr bwMode="auto">
                          <a:xfrm flipV="1">
                            <a:off x="3272366" y="3168562"/>
                            <a:ext cx="513555" cy="6985"/>
                          </a:xfrm>
                          <a:prstGeom prst="straightConnector1">
                            <a:avLst/>
                          </a:prstGeom>
                          <a:noFill/>
                          <a:ln w="9525">
                            <a:solidFill>
                              <a:srgbClr val="000000"/>
                            </a:solidFill>
                            <a:prstDash val="dashDot"/>
                            <a:round/>
                          </a:ln>
                        </wps:spPr>
                        <wps:bodyPr/>
                      </wps:wsp>
                      <wps:wsp>
                        <wps:cNvPr id="36" name="AutoShape 29"/>
                        <wps:cNvCnPr>
                          <a:cxnSpLocks noChangeShapeType="1"/>
                        </wps:cNvCnPr>
                        <wps:spPr bwMode="auto">
                          <a:xfrm>
                            <a:off x="35700" y="3689469"/>
                            <a:ext cx="5184000" cy="0"/>
                          </a:xfrm>
                          <a:prstGeom prst="straightConnector1">
                            <a:avLst/>
                          </a:prstGeom>
                          <a:noFill/>
                          <a:ln w="19050">
                            <a:solidFill>
                              <a:srgbClr val="000000"/>
                            </a:solidFill>
                            <a:prstDash val="dash"/>
                            <a:round/>
                          </a:ln>
                        </wps:spPr>
                        <wps:bodyPr/>
                      </wps:wsp>
                      <wps:wsp>
                        <wps:cNvPr id="37" name="AutoShape 30"/>
                        <wps:cNvCnPr>
                          <a:cxnSpLocks noChangeShapeType="1"/>
                        </wps:cNvCnPr>
                        <wps:spPr bwMode="auto">
                          <a:xfrm>
                            <a:off x="35636" y="1750649"/>
                            <a:ext cx="5184000" cy="635"/>
                          </a:xfrm>
                          <a:prstGeom prst="straightConnector1">
                            <a:avLst/>
                          </a:prstGeom>
                          <a:noFill/>
                          <a:ln w="19050">
                            <a:solidFill>
                              <a:srgbClr val="000000"/>
                            </a:solidFill>
                            <a:prstDash val="dash"/>
                            <a:round/>
                          </a:ln>
                        </wps:spPr>
                        <wps:bodyPr/>
                      </wps:wsp>
                      <wps:wsp>
                        <wps:cNvPr id="44" name="AutoShape 26"/>
                        <wps:cNvCnPr>
                          <a:cxnSpLocks noChangeShapeType="1"/>
                        </wps:cNvCnPr>
                        <wps:spPr bwMode="auto">
                          <a:xfrm flipV="1">
                            <a:off x="3278885" y="4271654"/>
                            <a:ext cx="513080" cy="6985"/>
                          </a:xfrm>
                          <a:prstGeom prst="straightConnector1">
                            <a:avLst/>
                          </a:prstGeom>
                          <a:noFill/>
                          <a:ln w="9525">
                            <a:solidFill>
                              <a:srgbClr val="000000"/>
                            </a:solidFill>
                            <a:prstDash val="dashDot"/>
                            <a:round/>
                          </a:ln>
                        </wps:spPr>
                        <wps:bodyPr/>
                      </wps:wsp>
                      <wps:wsp>
                        <wps:cNvPr id="45" name="Text Box 20"/>
                        <wps:cNvSpPr txBox="1">
                          <a:spLocks noChangeArrowheads="1"/>
                        </wps:cNvSpPr>
                        <wps:spPr bwMode="auto">
                          <a:xfrm>
                            <a:off x="3785446" y="5077242"/>
                            <a:ext cx="1259840" cy="503555"/>
                          </a:xfrm>
                          <a:prstGeom prst="rect">
                            <a:avLst/>
                          </a:prstGeom>
                          <a:solidFill>
                            <a:srgbClr val="FFFFFF"/>
                          </a:solidFill>
                          <a:ln w="9525">
                            <a:solidFill>
                              <a:srgbClr val="000000"/>
                            </a:solidFill>
                            <a:miter lim="800000"/>
                          </a:ln>
                        </wps:spPr>
                        <wps:txbx>
                          <w:txbxContent>
                            <w:p>
                              <w:pPr>
                                <w:adjustRightInd/>
                                <w:spacing w:line="240" w:lineRule="auto"/>
                                <w:jc w:val="center"/>
                                <w:rPr>
                                  <w:rFonts w:ascii="Times New Roman" w:eastAsia="仿宋_GB2312" w:cs="Times New Roman"/>
                                </w:rPr>
                              </w:pPr>
                              <w:r>
                                <w:rPr>
                                  <w:rFonts w:hint="eastAsia" w:ascii="Times New Roman" w:eastAsia="仿宋_GB2312" w:cs="Times New Roman"/>
                                </w:rPr>
                                <w:t>土地使用权人</w:t>
                              </w:r>
                            </w:p>
                            <w:p>
                              <w:pPr>
                                <w:adjustRightInd/>
                                <w:spacing w:line="240" w:lineRule="auto"/>
                                <w:jc w:val="center"/>
                                <w:rPr>
                                  <w:rFonts w:ascii="Times New Roman" w:eastAsia="仿宋_GB2312" w:cs="Times New Roman"/>
                                </w:rPr>
                              </w:pPr>
                              <w:r>
                                <w:rPr>
                                  <w:rFonts w:hint="eastAsia" w:ascii="Times New Roman" w:eastAsia="仿宋_GB2312" w:cs="Times New Roman"/>
                                </w:rPr>
                                <w:t>负责</w:t>
                              </w:r>
                            </w:p>
                          </w:txbxContent>
                        </wps:txbx>
                        <wps:bodyPr rot="0" vert="horz" wrap="square" lIns="91440" tIns="45720" rIns="91440" bIns="45720" anchor="ctr" anchorCtr="0" upright="1">
                          <a:noAutofit/>
                        </wps:bodyPr>
                      </wps:wsp>
                      <wps:wsp>
                        <wps:cNvPr id="46" name="AutoShape 29"/>
                        <wps:cNvCnPr>
                          <a:cxnSpLocks noChangeShapeType="1"/>
                        </wps:cNvCnPr>
                        <wps:spPr bwMode="auto">
                          <a:xfrm>
                            <a:off x="34052" y="4775010"/>
                            <a:ext cx="5183505" cy="0"/>
                          </a:xfrm>
                          <a:prstGeom prst="straightConnector1">
                            <a:avLst/>
                          </a:prstGeom>
                          <a:noFill/>
                          <a:ln w="19050">
                            <a:solidFill>
                              <a:srgbClr val="000000"/>
                            </a:solidFill>
                            <a:prstDash val="dash"/>
                            <a:round/>
                          </a:ln>
                        </wps:spPr>
                        <wps:bodyPr/>
                      </wps:wsp>
                      <wps:wsp>
                        <wps:cNvPr id="47" name="Text Box 19"/>
                        <wps:cNvSpPr txBox="1">
                          <a:spLocks noChangeArrowheads="1"/>
                        </wps:cNvSpPr>
                        <wps:spPr bwMode="auto">
                          <a:xfrm>
                            <a:off x="162639" y="5079986"/>
                            <a:ext cx="1331595" cy="503555"/>
                          </a:xfrm>
                          <a:prstGeom prst="rect">
                            <a:avLst/>
                          </a:prstGeom>
                          <a:solidFill>
                            <a:srgbClr val="FFFFFF"/>
                          </a:solidFill>
                          <a:ln w="9525">
                            <a:solidFill>
                              <a:srgbClr val="000000"/>
                            </a:solidFill>
                            <a:miter lim="800000"/>
                          </a:ln>
                        </wps:spPr>
                        <wps:txbx>
                          <w:txbxContent>
                            <w:p>
                              <w:pPr>
                                <w:adjustRightInd/>
                                <w:spacing w:line="240" w:lineRule="auto"/>
                                <w:jc w:val="center"/>
                                <w:rPr>
                                  <w:rFonts w:ascii="Times New Roman" w:eastAsia="仿宋_GB2312" w:cs="Times New Roman"/>
                                </w:rPr>
                              </w:pPr>
                              <w:r>
                                <w:rPr>
                                  <w:rFonts w:hint="eastAsia" w:ascii="Times New Roman" w:eastAsia="仿宋_GB2312" w:cs="Times New Roman"/>
                                </w:rPr>
                                <w:t>暂不开发利用地块后期监管</w:t>
                              </w:r>
                            </w:p>
                          </w:txbxContent>
                        </wps:txbx>
                        <wps:bodyPr rot="0" vert="horz" wrap="square" lIns="91440" tIns="45720" rIns="91440" bIns="45720" anchor="ctr" anchorCtr="0" upright="1">
                          <a:noAutofit/>
                        </wps:bodyPr>
                      </wps:wsp>
                      <wps:wsp>
                        <wps:cNvPr id="48" name="AutoShape 26"/>
                        <wps:cNvCnPr>
                          <a:cxnSpLocks noChangeShapeType="1"/>
                        </wps:cNvCnPr>
                        <wps:spPr bwMode="auto">
                          <a:xfrm flipV="1">
                            <a:off x="3278885" y="5341990"/>
                            <a:ext cx="513080" cy="6350"/>
                          </a:xfrm>
                          <a:prstGeom prst="straightConnector1">
                            <a:avLst/>
                          </a:prstGeom>
                          <a:noFill/>
                          <a:ln w="9525">
                            <a:solidFill>
                              <a:srgbClr val="000000"/>
                            </a:solidFill>
                            <a:prstDash val="dashDot"/>
                            <a:round/>
                          </a:ln>
                        </wps:spPr>
                        <wps:bodyPr/>
                      </wps:wsp>
                    </wpc:wpc>
                  </a:graphicData>
                </a:graphic>
              </wp:inline>
            </w:drawing>
          </mc:Choice>
          <mc:Fallback>
            <w:pict>
              <v:group id="_x0000_s1026" o:spid="_x0000_s1026" o:spt="203" style="height:450.5pt;width:411pt;" coordsize="5219700,5721350" editas="canvas" o:gfxdata="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">
                <o:lock v:ext="edit" aspectratio="f"/>
                <v:shape id="_x0000_s1026" o:spid="_x0000_s1026" style="position:absolute;left:0;top:0;height:5721350;width:5219700;" filled="f" stroked="f" coordsize="21600,21600" o:gfxdata="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">
                  <v:fill on="f" focussize="0,0"/>
                  <v:stroke on="f"/>
                  <v:imagedata o:title=""/>
                  <o:lock v:ext="edit" aspectratio="t"/>
                </v:shape>
                <v:shape id="Text Box 4" o:spid="_x0000_s1026" o:spt="202" type="#_x0000_t202" style="position:absolute;left:161925;top:554785;height:504000;width:1332000;v-text-anchor:middle;" fillcolor="#FFFFFF" filled="t" stroked="t" coordsize="21600,21600" o:gfxdata="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uMpmr0QAAAAUBAAAPAAAA&#10;AAAAAAEAIAAAACIAAABkcnMvZG93bnJldi54bWxQSwECFAAUAAAACACHTuJA0gZnbBwCAABEBAAA&#10;DgAAAAAAAAABACAAAAAgAQAAZHJzL2Uyb0RvYy54bWxQSwUGAAAAAAYABgBZAQAArgUAAAAA&#10;">
                  <v:fill on="t" focussize="0,0"/>
                  <v:stroke color="#000000" miterlimit="8" joinstyle="miter"/>
                  <v:imagedata o:title=""/>
                  <o:lock v:ext="edit" aspectratio="f"/>
                  <v:textbox>
                    <w:txbxContent>
                      <w:p>
                        <w:pPr>
                          <w:pStyle w:val="134"/>
                          <w:rPr>
                            <w:rFonts w:eastAsia="仿宋_GB2312"/>
                          </w:rPr>
                        </w:pPr>
                        <w:r>
                          <w:rPr>
                            <w:rFonts w:eastAsia="仿宋_GB2312"/>
                          </w:rPr>
                          <w:t>建立暂不开发利用地块清单</w:t>
                        </w:r>
                      </w:p>
                    </w:txbxContent>
                  </v:textbox>
                </v:shape>
                <v:shape id="Text Box 5" o:spid="_x0000_s1026" o:spt="202" type="#_x0000_t202" style="position:absolute;left:2013636;top:125352;height:504000;width:1260000;v-text-anchor:middle;" fillcolor="#FFFFFF" filled="t" stroked="t" coordsize="21600,21600" o:gfxdata="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O4ymavRAAAABQEAAA8A&#10;AAAAAAAAAQAgAAAAIgAAAGRycy9kb3ducmV2LnhtbFBLAQIUABQAAAAIAIdO4kB7ksMuHgIAAEUE&#10;AAAOAAAAAAAAAAEAIAAAACABAABkcnMvZTJvRG9jLnhtbFBLBQYAAAAABgAGAFkBAACwBQAAAAA=&#10;">
                  <v:fill on="t" focussize="0,0"/>
                  <v:stroke color="#000000" miterlimit="8" joinstyle="miter"/>
                  <v:imagedata o:title=""/>
                  <o:lock v:ext="edit" aspectratio="f"/>
                  <v:textbox>
                    <w:txbxContent>
                      <w:p>
                        <w:pPr>
                          <w:pStyle w:val="134"/>
                          <w:rPr>
                            <w:rFonts w:eastAsia="仿宋_GB2312"/>
                          </w:rPr>
                        </w:pPr>
                        <w:r>
                          <w:rPr>
                            <w:rFonts w:eastAsia="仿宋_GB2312"/>
                          </w:rPr>
                          <w:t>初步</w:t>
                        </w:r>
                        <w:r>
                          <w:rPr>
                            <w:rFonts w:hint="eastAsia" w:eastAsia="仿宋_GB2312"/>
                          </w:rPr>
                          <w:t>确定</w:t>
                        </w:r>
                        <w:r>
                          <w:rPr>
                            <w:rFonts w:eastAsia="仿宋_GB2312"/>
                          </w:rPr>
                          <w:t>暂不开发利用地块清单</w:t>
                        </w:r>
                      </w:p>
                    </w:txbxContent>
                  </v:textbox>
                </v:shape>
                <v:shape id="Text Box 6" o:spid="_x0000_s1026" o:spt="202" type="#_x0000_t202" style="position:absolute;left:3784651;top:125352;height:504000;width:1260000;v-text-anchor:middle;" fillcolor="#FFFFFF" filled="t" stroked="t" coordsize="21600,21600" o:gfxdata="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DuMpmr0QAAAAUBAAAP&#10;AAAAAAAAAAEAIAAAACIAAABkcnMvZG93bnJldi54bWxQSwECFAAUAAAACACHTuJA+f+6OB8CAABF&#10;BAAADgAAAAAAAAABACAAAAAgAQAAZHJzL2Uyb0RvYy54bWxQSwUGAAAAAAYABgBZAQAAsQUAAAAA&#10;">
                  <v:fill on="t" focussize="0,0"/>
                  <v:stroke color="#000000" miterlimit="8" joinstyle="miter"/>
                  <v:imagedata o:title=""/>
                  <o:lock v:ext="edit" aspectratio="f"/>
                  <v:textbox>
                    <w:txbxContent>
                      <w:p>
                        <w:pPr>
                          <w:pStyle w:val="134"/>
                          <w:rPr>
                            <w:rFonts w:eastAsia="仿宋_GB2312"/>
                          </w:rPr>
                        </w:pPr>
                        <w:r>
                          <w:rPr>
                            <w:rFonts w:eastAsia="仿宋_GB2312"/>
                          </w:rPr>
                          <w:t>市生态环境局、市自然资源局负责</w:t>
                        </w:r>
                      </w:p>
                    </w:txbxContent>
                  </v:textbox>
                </v:shape>
                <v:shape id="Text Box 7" o:spid="_x0000_s1026" o:spt="202" type="#_x0000_t202" style="position:absolute;left:2013636;top:971400;height:504000;width:1260000;v-text-anchor:middle;" fillcolor="#FFFFFF" filled="t" stroked="t" coordsize="21600,21600" o:gfxdata="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O4ymavRAAAABQEAAA8A&#10;AAAAAAAAAQAgAAAAIgAAAGRycy9kb3ducmV2LnhtbFBLAQIUABQAAAAIAIdO4kA+SC01HgIAAEUE&#10;AAAOAAAAAAAAAAEAIAAAACABAABkcnMvZTJvRG9jLnhtbFBLBQYAAAAABgAGAFkBAACwBQAAAAA=&#10;">
                  <v:fill on="t" focussize="0,0"/>
                  <v:stroke color="#000000" miterlimit="8" joinstyle="miter"/>
                  <v:imagedata o:title=""/>
                  <o:lock v:ext="edit" aspectratio="f"/>
                  <v:textbox>
                    <w:txbxContent>
                      <w:p>
                        <w:pPr>
                          <w:pStyle w:val="134"/>
                          <w:rPr>
                            <w:rFonts w:eastAsia="仿宋_GB2312"/>
                          </w:rPr>
                        </w:pPr>
                        <w:r>
                          <w:rPr>
                            <w:rFonts w:hint="eastAsia" w:eastAsia="仿宋_GB2312"/>
                          </w:rPr>
                          <w:t>最终确定</w:t>
                        </w:r>
                        <w:r>
                          <w:rPr>
                            <w:rFonts w:eastAsia="仿宋_GB2312"/>
                          </w:rPr>
                          <w:t>暂不开发利用地块清单</w:t>
                        </w:r>
                      </w:p>
                    </w:txbxContent>
                  </v:textbox>
                </v:shape>
                <v:shape id="Text Box 8" o:spid="_x0000_s1026" o:spt="202" type="#_x0000_t202" style="position:absolute;left:3785921;top:970130;height:504000;width:1260000;v-text-anchor:middle;" fillcolor="#FFFFFF" filled="t" stroked="t" coordsize="21600,21600" o:gfxdata="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O4ymavRAAAABQEAAA8A&#10;AAAAAAAAAQAgAAAAIgAAAGRycy9kb3ducmV2LnhtbFBLAQIUABQAAAAIAIdO4kDI6eqwHgIAAEYE&#10;AAAOAAAAAAAAAAEAIAAAACABAABkcnMvZTJvRG9jLnhtbFBLBQYAAAAABgAGAFkBAACwBQAAAAA=&#10;">
                  <v:fill on="t" focussize="0,0"/>
                  <v:stroke color="#000000" miterlimit="8" joinstyle="miter"/>
                  <v:imagedata o:title=""/>
                  <o:lock v:ext="edit" aspectratio="f"/>
                  <v:textbox>
                    <w:txbxContent>
                      <w:p>
                        <w:pPr>
                          <w:pStyle w:val="134"/>
                          <w:rPr>
                            <w:rFonts w:eastAsia="仿宋_GB2312"/>
                          </w:rPr>
                        </w:pPr>
                        <w:r>
                          <w:rPr>
                            <w:rFonts w:eastAsia="仿宋_GB2312"/>
                          </w:rPr>
                          <w:t>土地使用权人</w:t>
                        </w:r>
                      </w:p>
                      <w:p>
                        <w:pPr>
                          <w:pStyle w:val="134"/>
                          <w:rPr>
                            <w:rFonts w:eastAsia="仿宋_GB2312"/>
                          </w:rPr>
                        </w:pPr>
                        <w:r>
                          <w:rPr>
                            <w:rFonts w:eastAsia="仿宋_GB2312"/>
                          </w:rPr>
                          <w:t>负责</w:t>
                        </w:r>
                      </w:p>
                    </w:txbxContent>
                  </v:textbox>
                </v:shape>
                <v:shape id="Text Box 9" o:spid="_x0000_s1026" o:spt="202" type="#_x0000_t202" style="position:absolute;left:162560;top:2531972;height:504000;width:1332000;v-text-anchor:middle;" fillcolor="#FFFFFF" filled="t" stroked="t" coordsize="21600,21600" o:gfxdata="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DuMpmr0QAAAAUBAAAP&#10;AAAAAAAAAAEAIAAAACIAAABkcnMvZG93bnJldi54bWxQSwECFAAUAAAACACHTuJApR4BFB8CAABG&#10;BAAADgAAAAAAAAABACAAAAAgAQAAZHJzL2Uyb0RvYy54bWxQSwUGAAAAAAYABgBZAQAAsQUAAAAA&#10;">
                  <v:fill on="t" focussize="0,0"/>
                  <v:stroke color="#000000" miterlimit="8" joinstyle="miter"/>
                  <v:imagedata o:title=""/>
                  <o:lock v:ext="edit" aspectratio="f"/>
                  <v:textbox>
                    <w:txbxContent>
                      <w:p>
                        <w:pPr>
                          <w:pStyle w:val="134"/>
                          <w:rPr>
                            <w:rFonts w:eastAsia="仿宋_GB2312"/>
                          </w:rPr>
                        </w:pPr>
                        <w:r>
                          <w:rPr>
                            <w:rFonts w:eastAsia="仿宋_GB2312"/>
                          </w:rPr>
                          <w:t>暂不开发利用地块关注度分级</w:t>
                        </w:r>
                      </w:p>
                    </w:txbxContent>
                  </v:textbox>
                </v:shape>
                <v:shape id="Text Box 10" o:spid="_x0000_s1026" o:spt="202" type="#_x0000_t202" style="position:absolute;left:2013636;top:2096240;height:504000;width:1260000;v-text-anchor:middle;" fillcolor="#FFFFFF" filled="t" stroked="t" coordsize="21600,21600" o:gfxdata="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7jKZq9EAAAAFAQAA&#10;DwAAAAAAAAABACAAAAAiAAAAZHJzL2Rvd25yZXYueG1sUEsBAhQAFAAAAAgAh07iQPWv104gAgAA&#10;SAQAAA4AAAAAAAAAAQAgAAAAIAEAAGRycy9lMm9Eb2MueG1sUEsFBgAAAAAGAAYAWQEAALIFAAAA&#10;AA==&#10;">
                  <v:fill on="t" focussize="0,0"/>
                  <v:stroke color="#000000" miterlimit="8" joinstyle="miter"/>
                  <v:imagedata o:title=""/>
                  <o:lock v:ext="edit" aspectratio="f"/>
                  <v:textbox>
                    <w:txbxContent>
                      <w:p>
                        <w:pPr>
                          <w:pStyle w:val="134"/>
                          <w:rPr>
                            <w:rFonts w:eastAsia="仿宋_GB2312"/>
                          </w:rPr>
                        </w:pPr>
                        <w:r>
                          <w:rPr>
                            <w:rFonts w:hint="eastAsia" w:eastAsia="仿宋_GB2312"/>
                          </w:rPr>
                          <w:t>填报</w:t>
                        </w:r>
                        <w:r>
                          <w:rPr>
                            <w:rFonts w:eastAsia="仿宋_GB2312"/>
                          </w:rPr>
                          <w:t>地块基础信息</w:t>
                        </w:r>
                        <w:r>
                          <w:rPr>
                            <w:rFonts w:hint="eastAsia" w:eastAsia="仿宋_GB2312"/>
                          </w:rPr>
                          <w:t>表</w:t>
                        </w:r>
                      </w:p>
                    </w:txbxContent>
                  </v:textbox>
                </v:shape>
                <v:shape id="Text Box 11" o:spid="_x0000_s1026" o:spt="202" type="#_x0000_t202" style="position:absolute;left:3785286;top:2096240;height:504000;width:1260000;v-text-anchor:middle;" fillcolor="#FFFFFF" filled="t" stroked="t" coordsize="21600,21600" o:gfxdata="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7jKZq9EAAAAF&#10;AQAADwAAAAAAAAABACAAAAAiAAAAZHJzL2Rvd25yZXYueG1sUEsBAhQAFAAAAAgAh07iQGQgmpUj&#10;AgAASAQAAA4AAAAAAAAAAQAgAAAAIAEAAGRycy9lMm9Eb2MueG1sUEsFBgAAAAAGAAYAWQEAALUF&#10;AAAAAA==&#10;">
                  <v:fill on="t" focussize="0,0"/>
                  <v:stroke color="#000000" miterlimit="8" joinstyle="miter"/>
                  <v:imagedata o:title=""/>
                  <o:lock v:ext="edit" aspectratio="f"/>
                  <v:textbox>
                    <w:txbxContent>
                      <w:p>
                        <w:pPr>
                          <w:pStyle w:val="134"/>
                          <w:rPr>
                            <w:rFonts w:eastAsia="仿宋_GB2312"/>
                          </w:rPr>
                        </w:pPr>
                        <w:r>
                          <w:rPr>
                            <w:rFonts w:eastAsia="仿宋_GB2312"/>
                          </w:rPr>
                          <w:t>土地使用权人</w:t>
                        </w:r>
                      </w:p>
                      <w:p>
                        <w:pPr>
                          <w:pStyle w:val="134"/>
                          <w:rPr>
                            <w:rFonts w:eastAsia="仿宋_GB2312"/>
                          </w:rPr>
                        </w:pPr>
                        <w:r>
                          <w:rPr>
                            <w:rFonts w:eastAsia="仿宋_GB2312"/>
                          </w:rPr>
                          <w:t>负责</w:t>
                        </w:r>
                      </w:p>
                    </w:txbxContent>
                  </v:textbox>
                </v:shape>
                <v:shape id="Text Box 12" o:spid="_x0000_s1026" o:spt="202" type="#_x0000_t202" style="position:absolute;left:2012366;top:2923547;height:504000;width:1260000;v-text-anchor:middle;" fillcolor="#FFFFFF" filled="t" stroked="t" coordsize="21600,21600" o:gfxdata="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7jKZq9EAAAAFAQAA&#10;DwAAAAAAAAABACAAAAAiAAAAZHJzL2Rvd25yZXYueG1sUEsBAhQAFAAAAAgAh07iQKACGsEgAgAA&#10;SAQAAA4AAAAAAAAAAQAgAAAAIAEAAGRycy9lMm9Eb2MueG1sUEsFBgAAAAAGAAYAWQEAALIFAAAA&#10;AA==&#10;">
                  <v:fill on="t" focussize="0,0"/>
                  <v:stroke color="#000000" miterlimit="8" joinstyle="miter"/>
                  <v:imagedata o:title=""/>
                  <o:lock v:ext="edit" aspectratio="f"/>
                  <v:textbox>
                    <w:txbxContent>
                      <w:p>
                        <w:pPr>
                          <w:pStyle w:val="134"/>
                          <w:rPr>
                            <w:rFonts w:eastAsia="仿宋_GB2312"/>
                          </w:rPr>
                        </w:pPr>
                        <w:r>
                          <w:rPr>
                            <w:rFonts w:eastAsia="仿宋_GB2312"/>
                          </w:rPr>
                          <w:t>地块关注度</w:t>
                        </w:r>
                        <w:r>
                          <w:rPr>
                            <w:rFonts w:hint="eastAsia" w:eastAsia="仿宋_GB2312"/>
                          </w:rPr>
                          <w:t>分级</w:t>
                        </w:r>
                      </w:p>
                    </w:txbxContent>
                  </v:textbox>
                </v:shape>
                <v:shape id="Text Box 13" o:spid="_x0000_s1026" o:spt="202" type="#_x0000_t202" style="position:absolute;left:3785921;top:2916562;height:504000;width:1260000;v-text-anchor:middle;" fillcolor="#FFFFFF" filled="t" stroked="t" coordsize="21600,21600" o:gfxdata="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uMpmr0QAAAAUB&#10;AAAPAAAAAAAAAAEAIAAAACIAAABkcnMvZG93bnJldi54bWxQSwECFAAUAAAACACHTuJAUSfz3yIC&#10;AABIBAAADgAAAAAAAAABACAAAAAgAQAAZHJzL2Uyb0RvYy54bWxQSwUGAAAAAAYABgBZAQAAtAUA&#10;AAAA&#10;">
                  <v:fill on="t" focussize="0,0"/>
                  <v:stroke color="#000000" miterlimit="8" joinstyle="miter"/>
                  <v:imagedata o:title=""/>
                  <o:lock v:ext="edit" aspectratio="f"/>
                  <v:textbox>
                    <w:txbxContent>
                      <w:p>
                        <w:pPr>
                          <w:pStyle w:val="134"/>
                          <w:rPr>
                            <w:rFonts w:eastAsia="仿宋_GB2312"/>
                          </w:rPr>
                        </w:pPr>
                        <w:r>
                          <w:rPr>
                            <w:rFonts w:eastAsia="仿宋_GB2312"/>
                          </w:rPr>
                          <w:t>市生态环境局</w:t>
                        </w:r>
                      </w:p>
                      <w:p>
                        <w:pPr>
                          <w:pStyle w:val="134"/>
                          <w:rPr>
                            <w:rFonts w:eastAsia="仿宋_GB2312"/>
                          </w:rPr>
                        </w:pPr>
                        <w:r>
                          <w:rPr>
                            <w:rFonts w:eastAsia="仿宋_GB2312"/>
                          </w:rPr>
                          <w:t>负责</w:t>
                        </w:r>
                      </w:p>
                    </w:txbxContent>
                  </v:textbox>
                </v:shape>
                <v:shape id="AutoShape 14" o:spid="_x0000_s1026" o:spt="32" type="#_x0000_t32" style="position:absolute;left:2643636;top:629352;height:342048;width:0;" filled="f" stroked="t" coordsize="21600,21600" o:gfxdata="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yNyX7VAAAABQEAAA8AAAAAAAAAAQAgAAAAIgAAAGRycy9kb3ducmV2LnhtbFBLAQIU&#10;ABQAAAAIAIdO4kC3nGNd9gEAANEDAAAOAAAAAAAAAAEAIAAAACQBAABkcnMvZTJvRG9jLnhtbFBL&#10;BQYAAAAABgAGAFkBAACMBQAAAAA=&#10;">
                  <v:fill on="f" focussize="0,0"/>
                  <v:stroke color="#000000" joinstyle="round" endarrow="block"/>
                  <v:imagedata o:title=""/>
                  <o:lock v:ext="edit" aspectratio="f"/>
                </v:shape>
                <v:shape id="AutoShape 15" o:spid="_x0000_s1026" o:spt="32" type="#_x0000_t32" style="position:absolute;left:2643636;top:1475400;height:620840;width:0;" filled="f" stroked="t" coordsize="21600,21600" o:gfxdata="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LyNyX7VAAAABQEAAA8AAAAAAAAAAQAgAAAAIgAAAGRycy9kb3ducmV2LnhtbFBL&#10;AQIUABQAAAAIAIdO4kAgKcrc+QEAANMDAAAOAAAAAAAAAAEAIAAAACQBAABkcnMvZTJvRG9jLnht&#10;bFBLBQYAAAAABgAGAFkBAACPBQAAAAA=&#10;">
                  <v:fill on="f" focussize="0,0"/>
                  <v:stroke color="#000000" joinstyle="round" endarrow="block"/>
                  <v:imagedata o:title=""/>
                  <o:lock v:ext="edit" aspectratio="f"/>
                </v:shape>
                <v:shape id="AutoShape 16" o:spid="_x0000_s1026" o:spt="32" type="#_x0000_t32" style="position:absolute;left:2642366;top:2600240;flip:x;height:323307;width:1270;" filled="f" stroked="t" coordsize="21600,21600" o:gfxdata="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IwR4QDVAAAABQEAAA8AAAAAAAAAAQAgAAAAIgAAAGRycy9kb3ducmV2&#10;LnhtbFBLAQIUABQAAAAIAIdO4kCxisua/wEAAOEDAAAOAAAAAAAAAAEAIAAAACQBAABkcnMvZTJv&#10;RG9jLnhtbFBLBQYAAAAABgAGAFkBAACVBQAAAAA=&#10;">
                  <v:fill on="f" focussize="0,0"/>
                  <v:stroke color="#000000" joinstyle="round" endarrow="block"/>
                  <v:imagedata o:title=""/>
                  <o:lock v:ext="edit" aspectratio="f"/>
                </v:shape>
                <v:shape id="Text Box 17" o:spid="_x0000_s1026" o:spt="202" type="#_x0000_t202" style="position:absolute;left:2012366;top:4032379;height:504000;width:1260000;v-text-anchor:middle;" fillcolor="#FFFFFF" filled="t" stroked="t" coordsize="21600,21600" o:gfxdata="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7jKZq9EAAAAF&#10;AQAADwAAAAAAAAABACAAAAAiAAAAZHJzL2Rvd25yZXYueG1sUEsBAhQAFAAAAAgAh07iQMOnMEMj&#10;AgAASAQAAA4AAAAAAAAAAQAgAAAAIAEAAGRycy9lMm9Eb2MueG1sUEsFBgAAAAAGAAYAWQEAALUF&#10;AAAAAA==&#10;">
                  <v:fill on="t" focussize="0,0"/>
                  <v:stroke color="#000000" miterlimit="8" joinstyle="miter"/>
                  <v:imagedata o:title=""/>
                  <o:lock v:ext="edit" aspectratio="f"/>
                  <v:textbox>
                    <w:txbxContent>
                      <w:p>
                        <w:pPr>
                          <w:pStyle w:val="134"/>
                          <w:rPr>
                            <w:rFonts w:eastAsia="仿宋_GB2312"/>
                          </w:rPr>
                        </w:pPr>
                        <w:r>
                          <w:rPr>
                            <w:rFonts w:eastAsia="仿宋_GB2312"/>
                          </w:rPr>
                          <w:t>编制、</w:t>
                        </w:r>
                        <w:r>
                          <w:rPr>
                            <w:rFonts w:hint="eastAsia" w:eastAsia="仿宋_GB2312"/>
                          </w:rPr>
                          <w:t>备案、实施风险管控方案</w:t>
                        </w:r>
                      </w:p>
                    </w:txbxContent>
                  </v:textbox>
                </v:shape>
                <v:shape id="Text Box 18" o:spid="_x0000_s1026" o:spt="202" type="#_x0000_t202" style="position:absolute;left:2013636;top:5082584;height:504000;width:1260000;v-text-anchor:middle;" fillcolor="#FFFFFF" filled="t" stroked="t" coordsize="21600,21600" o:gfxdata="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O4ymavRAAAABQEA&#10;AA8AAAAAAAAAAQAgAAAAIgAAAGRycy9kb3ducmV2LnhtbFBLAQIUABQAAAAIAIdO4kAEsUTkIQIA&#10;AEgEAAAOAAAAAAAAAAEAIAAAACABAABkcnMvZTJvRG9jLnhtbFBLBQYAAAAABgAGAFkBAACzBQAA&#10;AAA=&#10;">
                  <v:fill on="t" focussize="0,0"/>
                  <v:stroke color="#000000" miterlimit="8" joinstyle="miter"/>
                  <v:imagedata o:title=""/>
                  <o:lock v:ext="edit" aspectratio="f"/>
                  <v:textbox>
                    <w:txbxContent>
                      <w:p>
                        <w:pPr>
                          <w:pStyle w:val="134"/>
                          <w:rPr>
                            <w:rFonts w:eastAsia="仿宋_GB2312"/>
                          </w:rPr>
                        </w:pPr>
                        <w:r>
                          <w:rPr>
                            <w:rFonts w:hint="eastAsia" w:eastAsia="仿宋_GB2312"/>
                          </w:rPr>
                          <w:t>地块</w:t>
                        </w:r>
                        <w:r>
                          <w:rPr>
                            <w:rFonts w:eastAsia="仿宋_GB2312"/>
                          </w:rPr>
                          <w:t>巡查、日常维护、</w:t>
                        </w:r>
                        <w:r>
                          <w:rPr>
                            <w:rFonts w:hint="eastAsia" w:eastAsia="仿宋_GB2312"/>
                          </w:rPr>
                          <w:t>定期归档</w:t>
                        </w:r>
                      </w:p>
                    </w:txbxContent>
                  </v:textbox>
                </v:shape>
                <v:shape id="Text Box 19" o:spid="_x0000_s1026" o:spt="202" type="#_x0000_t202" style="position:absolute;left:162560;top:4009677;height:504000;width:1332000;v-text-anchor:middle;" fillcolor="#FFFFFF" filled="t" stroked="t" coordsize="21600,21600" o:gfxdata="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7jKZq9EAAAAFAQAA&#10;DwAAAAAAAAABACAAAAAiAAAAZHJzL2Rvd25yZXYueG1sUEsBAhQAFAAAAAgAh07iQHVhvL8gAgAA&#10;RwQAAA4AAAAAAAAAAQAgAAAAIAEAAGRycy9lMm9Eb2MueG1sUEsFBgAAAAAGAAYAWQEAALIFAAAA&#10;AA==&#10;">
                  <v:fill on="t" focussize="0,0"/>
                  <v:stroke color="#000000" miterlimit="8" joinstyle="miter"/>
                  <v:imagedata o:title=""/>
                  <o:lock v:ext="edit" aspectratio="f"/>
                  <v:textbox>
                    <w:txbxContent>
                      <w:p>
                        <w:pPr>
                          <w:pStyle w:val="134"/>
                          <w:rPr>
                            <w:rFonts w:eastAsia="仿宋_GB2312"/>
                          </w:rPr>
                        </w:pPr>
                        <w:r>
                          <w:rPr>
                            <w:rFonts w:eastAsia="仿宋_GB2312"/>
                          </w:rPr>
                          <w:t>暂不开发利用地块</w:t>
                        </w:r>
                        <w:r>
                          <w:rPr>
                            <w:rFonts w:hint="eastAsia" w:eastAsia="仿宋_GB2312"/>
                          </w:rPr>
                          <w:t>分级</w:t>
                        </w:r>
                        <w:r>
                          <w:rPr>
                            <w:rFonts w:eastAsia="仿宋_GB2312"/>
                          </w:rPr>
                          <w:t>管控</w:t>
                        </w:r>
                      </w:p>
                    </w:txbxContent>
                  </v:textbox>
                </v:shape>
                <v:shape id="Text Box 20" o:spid="_x0000_s1026" o:spt="202" type="#_x0000_t202" style="position:absolute;left:3786178;top:4020805;height:504000;width:1260000;v-text-anchor:middle;" fillcolor="#FFFFFF" filled="t" stroked="t" coordsize="21600,21600" o:gfxdata="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O4ymavRAAAA&#10;BQEAAA8AAAAAAAAAAQAgAAAAIgAAAGRycy9kb3ducmV2LnhtbFBLAQIUABQAAAAIAIdO4kCZmwYl&#10;JAIAAEgEAAAOAAAAAAAAAAEAIAAAACABAABkcnMvZTJvRG9jLnhtbFBLBQYAAAAABgAGAFkBAAC2&#10;BQAAAAA=&#10;">
                  <v:fill on="t" focussize="0,0"/>
                  <v:stroke color="#000000" miterlimit="8" joinstyle="miter"/>
                  <v:imagedata o:title=""/>
                  <o:lock v:ext="edit" aspectratio="f"/>
                  <v:textbox>
                    <w:txbxContent>
                      <w:p>
                        <w:pPr>
                          <w:pStyle w:val="134"/>
                          <w:rPr>
                            <w:rFonts w:eastAsia="仿宋_GB2312"/>
                          </w:rPr>
                        </w:pPr>
                        <w:r>
                          <w:rPr>
                            <w:rFonts w:eastAsia="仿宋_GB2312"/>
                          </w:rPr>
                          <w:t>土地使用权人</w:t>
                        </w:r>
                      </w:p>
                      <w:p>
                        <w:pPr>
                          <w:pStyle w:val="134"/>
                          <w:rPr>
                            <w:rFonts w:eastAsia="仿宋_GB2312"/>
                          </w:rPr>
                        </w:pPr>
                        <w:r>
                          <w:rPr>
                            <w:rFonts w:eastAsia="仿宋_GB2312"/>
                          </w:rPr>
                          <w:t>负责</w:t>
                        </w:r>
                      </w:p>
                    </w:txbxContent>
                  </v:textbox>
                </v:shape>
                <v:shape id="AutoShape 21" o:spid="_x0000_s1026" o:spt="32" type="#_x0000_t32" style="position:absolute;left:2642366;top:3427547;height:604832;width:0;" filled="f" stroked="t" coordsize="21600,21600" o:gfxdata="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8jcl+1QAAAAUBAAAPAAAAAAAAAAEAIAAAACIAAABkcnMvZG93bnJldi54bWxQ&#10;SwECFAAUAAAACACHTuJAK9HmDPoBAADUAwAADgAAAAAAAAABACAAAAAkAQAAZHJzL2Uyb0RvYy54&#10;bWxQSwUGAAAAAAYABgBZAQAAkAUAAAAA&#10;">
                  <v:fill on="f" focussize="0,0"/>
                  <v:stroke color="#000000" joinstyle="round" endarrow="block"/>
                  <v:imagedata o:title=""/>
                  <o:lock v:ext="edit" aspectratio="f"/>
                </v:shape>
                <v:shape id="AutoShape 22" o:spid="_x0000_s1026" o:spt="32" type="#_x0000_t32" style="position:absolute;left:2642366;top:4536379;height:546205;width:1270;" filled="f" stroked="t" coordsize="21600,21600" o:gfxdata="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LyNyX7VAAAABQEAAA8AAAAAAAAAAQAgAAAAIgAAAGRycy9kb3ducmV2LnhtbFBL&#10;AQIUABQAAAAIAIdO4kBhQtyt+QEAANcDAAAOAAAAAAAAAAEAIAAAACQBAABkcnMvZTJvRG9jLnht&#10;bFBLBQYAAAAABgAGAFkBAACPBQAAAAA=&#10;">
                  <v:fill on="f" focussize="0,0"/>
                  <v:stroke color="#000000" joinstyle="round" endarrow="block"/>
                  <v:imagedata o:title=""/>
                  <o:lock v:ext="edit" aspectratio="f"/>
                </v:shape>
                <v:shape id="AutoShape 23" o:spid="_x0000_s1026" o:spt="32" type="#_x0000_t32" style="position:absolute;left:3273636;top:1222130;flip:y;height:1270;width:512285;" filled="f" stroked="t" coordsize="21600,21600" o:gfxdata="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aiEyu9YAAAAFAQAADwAAAAAAAAABACAAAAAiAAAAZHJzL2Rvd25yZXYueG1sUEsBAhQAFAAA&#10;AAgAh07iQJJUYUbxAQAAzQMAAA4AAAAAAAAAAQAgAAAAJQEAAGRycy9lMm9Eb2MueG1sUEsFBgAA&#10;AAAGAAYAWQEAAIgFAAAAAA==&#10;">
                  <v:fill on="f" focussize="0,0"/>
                  <v:stroke color="#000000" joinstyle="round" dashstyle="dashDot"/>
                  <v:imagedata o:title=""/>
                  <o:lock v:ext="edit" aspectratio="f"/>
                </v:shape>
                <v:shape id="AutoShape 24" o:spid="_x0000_s1026" o:spt="32" type="#_x0000_t32" style="position:absolute;left:3273636;top:377352;height:0;width:511015;" filled="f" stroked="t" coordsize="21600,21600" o:gfxdata="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PNXKMTUAAAA&#10;BQEAAA8AAAAAAAAAAQAgAAAAIgAAAGRycy9kb3ducmV2LnhtbFBLAQIUABQAAAAIAIdO4kA7vDoU&#10;6AEAAL4DAAAOAAAAAAAAAAEAIAAAACMBAABkcnMvZTJvRG9jLnhtbFBLBQYAAAAABgAGAFkBAAB9&#10;BQAAAAA=&#10;">
                  <v:fill on="f" focussize="0,0"/>
                  <v:stroke color="#000000" joinstyle="round" dashstyle="dashDot"/>
                  <v:imagedata o:title=""/>
                  <o:lock v:ext="edit" aspectratio="f"/>
                </v:shape>
                <v:shape id="AutoShape 25" o:spid="_x0000_s1026" o:spt="32" type="#_x0000_t32" style="position:absolute;left:3273636;top:2348240;height:0;width:511650;" filled="f" stroked="t" coordsize="21600,21600" o:gfxdata="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PNXKMTU&#10;AAAABQEAAA8AAAAAAAAAAQAgAAAAIgAAAGRycy9kb3ducmV2LnhtbFBLAQIUABQAAAAIAIdO4kBP&#10;U/KT6wEAAMEDAAAOAAAAAAAAAAEAIAAAACMBAABkcnMvZTJvRG9jLnhtbFBLBQYAAAAABgAGAFkB&#10;AACABQAAAAA=&#10;">
                  <v:fill on="f" focussize="0,0"/>
                  <v:stroke color="#000000" joinstyle="round" dashstyle="dashDot"/>
                  <v:imagedata o:title=""/>
                  <o:lock v:ext="edit" aspectratio="f"/>
                </v:shape>
                <v:shape id="AutoShape 26" o:spid="_x0000_s1026" o:spt="32" type="#_x0000_t32" style="position:absolute;left:3272366;top:3168562;flip:y;height:6985;width:513555;" filled="f" stroked="t" coordsize="21600,21600" o:gfxdata="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aiEyu9YAAAAFAQAADwAAAAAAAAABACAAAAAiAAAAZHJzL2Rvd25yZXYueG1sUEsBAhQAFAAA&#10;AAgAh07iQKWGvfPxAQAAzgMAAA4AAAAAAAAAAQAgAAAAJQEAAGRycy9lMm9Eb2MueG1sUEsFBgAA&#10;AAAGAAYAWQEAAIgFAAAAAA==&#10;">
                  <v:fill on="f" focussize="0,0"/>
                  <v:stroke color="#000000" joinstyle="round" dashstyle="dashDot"/>
                  <v:imagedata o:title=""/>
                  <o:lock v:ext="edit" aspectratio="f"/>
                </v:shape>
                <v:shape id="AutoShape 29" o:spid="_x0000_s1026" o:spt="32" type="#_x0000_t32" style="position:absolute;left:35700;top:3689469;height:0;width:5184000;" filled="f" stroked="t" coordsize="21600,21600" o:gfxdata="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Clr25i0wAAAAUBAAAPAAAAAAAAAAEAIAAAACIAAABk&#10;cnMvZG93bnJldi54bWxQSwECFAAUAAAACACHTuJA16hZT9IBAACJAwAADgAAAAAAAAABACAAAAAi&#10;AQAAZHJzL2Uyb0RvYy54bWxQSwUGAAAAAAYABgBZAQAAZgUAAAAA&#10;">
                  <v:fill on="f" focussize="0,0"/>
                  <v:stroke weight="1.5pt" color="#000000" joinstyle="round" dashstyle="dash"/>
                  <v:imagedata o:title=""/>
                  <o:lock v:ext="edit" aspectratio="f"/>
                </v:shape>
                <v:shape id="AutoShape 30" o:spid="_x0000_s1026" o:spt="32" type="#_x0000_t32" style="position:absolute;left:35636;top:1750649;height:635;width:5184000;" filled="f" stroked="t" coordsize="21600,21600" o:gfxdata="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Clr25i0wAAAAUBAAAPAAAAAAAAAAEAIAAAACIA&#10;AABkcnMvZG93bnJldi54bWxQSwECFAAUAAAACACHTuJAtCVb2NUBAACLAwAADgAAAAAAAAABACAA&#10;AAAiAQAAZHJzL2Uyb0RvYy54bWxQSwUGAAAAAAYABgBZAQAAaQUAAAAA&#10;">
                  <v:fill on="f" focussize="0,0"/>
                  <v:stroke weight="1.5pt" color="#000000" joinstyle="round" dashstyle="dash"/>
                  <v:imagedata o:title=""/>
                  <o:lock v:ext="edit" aspectratio="f"/>
                </v:shape>
                <v:shape id="AutoShape 26" o:spid="_x0000_s1026" o:spt="32" type="#_x0000_t32" style="position:absolute;left:3278885;top:4271654;flip:y;height:6985;width:513080;" filled="f" stroked="t" coordsize="21600,21600" o:gfxdata="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GohMrvWAAAABQEAAA8A&#10;AAAAAAAAAQAgAAAAIgAAAGRycy9kb3ducmV2LnhtbFBLAQIUABQAAAAIAIdO4kBN39+y4AEAAJkD&#10;AAAOAAAAAAAAAAEAIAAAACUBAABkcnMvZTJvRG9jLnhtbFBLBQYAAAAABgAGAFkBAAB3BQAAAAA=&#10;">
                  <v:fill on="f" focussize="0,0"/>
                  <v:stroke color="#000000" joinstyle="round" dashstyle="dashDot"/>
                  <v:imagedata o:title=""/>
                  <o:lock v:ext="edit" aspectratio="f"/>
                </v:shape>
                <v:shape id="Text Box 20" o:spid="_x0000_s1026" o:spt="202" type="#_x0000_t202" style="position:absolute;left:3785446;top:5077242;height:503555;width:1259840;v-text-anchor:middle;" fillcolor="#FFFFFF" filled="t" stroked="t" coordsize="21600,21600" o:gfxdata="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O4ymavRAAAA&#10;BQEAAA8AAAAAAAAAAQAgAAAAIgAAAGRycy9kb3ducmV2LnhtbFBLAQIUABQAAAAIAIdO4kA1Bqq6&#10;JAIAAEgEAAAOAAAAAAAAAAEAIAAAACABAABkcnMvZTJvRG9jLnhtbFBLBQYAAAAABgAGAFkBAAC2&#10;BQAAAAA=&#10;">
                  <v:fill on="t" focussize="0,0"/>
                  <v:stroke color="#000000" miterlimit="8" joinstyle="miter"/>
                  <v:imagedata o:title=""/>
                  <o:lock v:ext="edit" aspectratio="f"/>
                  <v:textbox>
                    <w:txbxContent>
                      <w:p>
                        <w:pPr>
                          <w:adjustRightInd/>
                          <w:spacing w:line="240" w:lineRule="auto"/>
                          <w:jc w:val="center"/>
                          <w:rPr>
                            <w:rFonts w:ascii="Times New Roman" w:eastAsia="仿宋_GB2312" w:cs="Times New Roman"/>
                          </w:rPr>
                        </w:pPr>
                        <w:r>
                          <w:rPr>
                            <w:rFonts w:hint="eastAsia" w:ascii="Times New Roman" w:eastAsia="仿宋_GB2312" w:cs="Times New Roman"/>
                          </w:rPr>
                          <w:t>土地使用权人</w:t>
                        </w:r>
                      </w:p>
                      <w:p>
                        <w:pPr>
                          <w:adjustRightInd/>
                          <w:spacing w:line="240" w:lineRule="auto"/>
                          <w:jc w:val="center"/>
                          <w:rPr>
                            <w:rFonts w:ascii="Times New Roman" w:eastAsia="仿宋_GB2312" w:cs="Times New Roman"/>
                          </w:rPr>
                        </w:pPr>
                        <w:r>
                          <w:rPr>
                            <w:rFonts w:hint="eastAsia" w:ascii="Times New Roman" w:eastAsia="仿宋_GB2312" w:cs="Times New Roman"/>
                          </w:rPr>
                          <w:t>负责</w:t>
                        </w:r>
                      </w:p>
                    </w:txbxContent>
                  </v:textbox>
                </v:shape>
                <v:shape id="AutoShape 29" o:spid="_x0000_s1026" o:spt="32" type="#_x0000_t32" style="position:absolute;left:34052;top:4775010;height:0;width:5183505;" filled="f" stroked="t" coordsize="21600,21600" o:gfxdata="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KWvbmLTAAAABQEAAA8AAAAAAAAAAQAgAAAAIgAA&#10;AGRycy9kb3ducmV2LnhtbFBLAQIUABQAAAAIAIdO4kANRZKw1AEAAIkDAAAOAAAAAAAAAAEAIAAA&#10;ACIBAABkcnMvZTJvRG9jLnhtbFBLBQYAAAAABgAGAFkBAABoBQAAAAA=&#10;">
                  <v:fill on="f" focussize="0,0"/>
                  <v:stroke weight="1.5pt" color="#000000" joinstyle="round" dashstyle="dash"/>
                  <v:imagedata o:title=""/>
                  <o:lock v:ext="edit" aspectratio="f"/>
                </v:shape>
                <v:shape id="Text Box 19" o:spid="_x0000_s1026" o:spt="202" type="#_x0000_t202" style="position:absolute;left:162639;top:5079986;height:503555;width:1331595;v-text-anchor:middle;" fillcolor="#FFFFFF" filled="t" stroked="t" coordsize="21600,21600" o:gfxdata="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O4ymavRAAAABQEA&#10;AA8AAAAAAAAAAQAgAAAAIgAAAGRycy9kb3ducmV2LnhtbFBLAQIUABQAAAAIAIdO4kAZ/mlDIQIA&#10;AEcEAAAOAAAAAAAAAAEAIAAAACABAABkcnMvZTJvRG9jLnhtbFBLBQYAAAAABgAGAFkBAACzBQAA&#10;AAA=&#10;">
                  <v:fill on="t" focussize="0,0"/>
                  <v:stroke color="#000000" miterlimit="8" joinstyle="miter"/>
                  <v:imagedata o:title=""/>
                  <o:lock v:ext="edit" aspectratio="f"/>
                  <v:textbox>
                    <w:txbxContent>
                      <w:p>
                        <w:pPr>
                          <w:adjustRightInd/>
                          <w:spacing w:line="240" w:lineRule="auto"/>
                          <w:jc w:val="center"/>
                          <w:rPr>
                            <w:rFonts w:ascii="Times New Roman" w:eastAsia="仿宋_GB2312" w:cs="Times New Roman"/>
                          </w:rPr>
                        </w:pPr>
                        <w:r>
                          <w:rPr>
                            <w:rFonts w:hint="eastAsia" w:ascii="Times New Roman" w:eastAsia="仿宋_GB2312" w:cs="Times New Roman"/>
                          </w:rPr>
                          <w:t>暂不开发利用地块后期监管</w:t>
                        </w:r>
                      </w:p>
                    </w:txbxContent>
                  </v:textbox>
                </v:shape>
                <v:shape id="AutoShape 26" o:spid="_x0000_s1026" o:spt="32" type="#_x0000_t32" style="position:absolute;left:3278885;top:5341990;flip:y;height:6350;width:513080;" filled="f" stroked="t" coordsize="21600,21600" o:gfxdata="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aiEyu9YAAAAFAQAADwAA&#10;AAAAAAABACAAAAAiAAAAZHJzL2Rvd25yZXYueG1sUEsBAhQAFAAAAAgAh07iQOPpI87fAQAAmQMA&#10;AA4AAAAAAAAAAQAgAAAAJQEAAGRycy9lMm9Eb2MueG1sUEsFBgAAAAAGAAYAWQEAAHYFAAAAAA==&#10;">
                  <v:fill on="f" focussize="0,0"/>
                  <v:stroke color="#000000" joinstyle="round" dashstyle="dashDot"/>
                  <v:imagedata o:title=""/>
                  <o:lock v:ext="edit" aspectratio="f"/>
                </v:shape>
                <w10:wrap type="none"/>
                <w10:anchorlock/>
              </v:group>
            </w:pict>
          </mc:Fallback>
        </mc:AlternateContent>
      </w:r>
    </w:p>
    <w:p>
      <w:pPr>
        <w:pStyle w:val="82"/>
        <w:numPr>
          <w:ilvl w:val="0"/>
          <w:numId w:val="0"/>
        </w:numPr>
        <w:spacing w:before="0" w:beforeLines="0"/>
        <w:rPr>
          <w:sz w:val="28"/>
          <w:szCs w:val="32"/>
          <w:lang w:val="en-GB"/>
        </w:rPr>
      </w:pPr>
      <w:r>
        <w:rPr>
          <w:rFonts w:hint="eastAsia"/>
          <w:sz w:val="28"/>
          <w:lang w:bidi="ar"/>
        </w:rPr>
        <w:t>图1</w:t>
      </w:r>
      <w:r>
        <w:rPr>
          <w:sz w:val="28"/>
          <w:lang w:bidi="ar"/>
        </w:rPr>
        <w:t xml:space="preserve"> </w:t>
      </w:r>
      <w:r>
        <w:rPr>
          <w:rFonts w:hint="eastAsia"/>
          <w:sz w:val="28"/>
          <w:lang w:bidi="ar"/>
        </w:rPr>
        <w:t>韶关</w:t>
      </w:r>
      <w:r>
        <w:rPr>
          <w:sz w:val="28"/>
          <w:lang w:bidi="ar"/>
        </w:rPr>
        <w:t>市暂不开发利用地块土壤污染防治管理流程图</w:t>
      </w:r>
    </w:p>
    <w:p>
      <w:pPr>
        <w:pStyle w:val="53"/>
        <w:numPr>
          <w:ilvl w:val="0"/>
          <w:numId w:val="0"/>
        </w:numPr>
        <w:rPr>
          <w:lang w:bidi="ar"/>
        </w:rPr>
      </w:pPr>
      <w:bookmarkStart w:id="53" w:name="_Toc75817448"/>
      <w:bookmarkStart w:id="54" w:name="_Toc63547166"/>
      <w:bookmarkStart w:id="55" w:name="_Toc77932780"/>
      <w:bookmarkStart w:id="56" w:name="_Toc83156810"/>
      <w:bookmarkStart w:id="57" w:name="_Toc83565249"/>
      <w:bookmarkStart w:id="58" w:name="_Toc83634740"/>
      <w:bookmarkStart w:id="59" w:name="_Hlk78377101"/>
      <w:bookmarkStart w:id="60" w:name="_Toc463680881"/>
      <w:bookmarkStart w:id="61" w:name="_Toc462841091"/>
      <w:r>
        <w:rPr>
          <w:lang w:bidi="ar"/>
        </w:rPr>
        <w:t>5  建立暂不开发利用地块清单</w:t>
      </w:r>
      <w:bookmarkEnd w:id="53"/>
      <w:bookmarkEnd w:id="54"/>
      <w:bookmarkEnd w:id="55"/>
      <w:bookmarkEnd w:id="56"/>
      <w:bookmarkEnd w:id="57"/>
      <w:bookmarkEnd w:id="58"/>
    </w:p>
    <w:bookmarkEnd w:id="59"/>
    <w:p>
      <w:pPr>
        <w:pStyle w:val="69"/>
        <w:numPr>
          <w:ilvl w:val="0"/>
          <w:numId w:val="0"/>
        </w:numPr>
        <w:rPr>
          <w:lang w:bidi="ar"/>
        </w:rPr>
      </w:pPr>
      <w:bookmarkStart w:id="62" w:name="_Toc83156811"/>
      <w:bookmarkStart w:id="63" w:name="_Toc77932781"/>
      <w:bookmarkStart w:id="64" w:name="_Toc83565250"/>
      <w:bookmarkStart w:id="65" w:name="_Toc75817449"/>
      <w:bookmarkStart w:id="66" w:name="_Toc83634741"/>
      <w:r>
        <w:rPr>
          <w:lang w:bidi="ar"/>
        </w:rPr>
        <w:t xml:space="preserve">5.1  </w:t>
      </w:r>
      <w:r>
        <w:rPr>
          <w:rFonts w:hint="eastAsia"/>
          <w:lang w:bidi="ar"/>
        </w:rPr>
        <w:t>责任</w:t>
      </w:r>
      <w:r>
        <w:rPr>
          <w:lang w:bidi="ar"/>
        </w:rPr>
        <w:t>部门</w:t>
      </w:r>
      <w:bookmarkEnd w:id="62"/>
      <w:bookmarkEnd w:id="63"/>
      <w:bookmarkEnd w:id="64"/>
      <w:bookmarkEnd w:id="65"/>
      <w:bookmarkEnd w:id="66"/>
    </w:p>
    <w:p>
      <w:pPr>
        <w:pStyle w:val="56"/>
        <w:ind w:firstLine="640"/>
        <w:rPr>
          <w:rFonts w:cs="Times New Roman"/>
          <w:lang w:bidi="ar"/>
        </w:rPr>
      </w:pPr>
      <w:r>
        <w:rPr>
          <w:rFonts w:cs="Times New Roman"/>
          <w:lang w:bidi="ar"/>
        </w:rPr>
        <w:t>市生态环境局</w:t>
      </w:r>
      <w:bookmarkStart w:id="67" w:name="_Hlk78381176"/>
      <w:r>
        <w:rPr>
          <w:rFonts w:hint="eastAsia" w:cs="Times New Roman"/>
          <w:lang w:bidi="ar"/>
        </w:rPr>
        <w:t>、</w:t>
      </w:r>
      <w:r>
        <w:rPr>
          <w:rFonts w:cs="Times New Roman"/>
          <w:lang w:bidi="ar"/>
        </w:rPr>
        <w:t>市自然资源局</w:t>
      </w:r>
      <w:r>
        <w:rPr>
          <w:rFonts w:hint="eastAsia" w:cs="Times New Roman"/>
          <w:lang w:bidi="ar"/>
        </w:rPr>
        <w:t>负责，</w:t>
      </w:r>
      <w:r>
        <w:rPr>
          <w:rFonts w:cs="Times New Roman"/>
          <w:lang w:bidi="ar"/>
        </w:rPr>
        <w:t>市工业和信息化局</w:t>
      </w:r>
      <w:r>
        <w:rPr>
          <w:rFonts w:hint="eastAsia" w:cs="Times New Roman"/>
          <w:lang w:bidi="ar"/>
        </w:rPr>
        <w:t>、</w:t>
      </w:r>
      <w:r>
        <w:rPr>
          <w:rFonts w:cs="Times New Roman"/>
          <w:lang w:bidi="ar"/>
        </w:rPr>
        <w:t>市市场监督管理局</w:t>
      </w:r>
      <w:bookmarkEnd w:id="67"/>
      <w:r>
        <w:rPr>
          <w:rFonts w:hint="eastAsia" w:cs="Times New Roman"/>
          <w:lang w:bidi="ar"/>
        </w:rPr>
        <w:t>配合</w:t>
      </w:r>
      <w:r>
        <w:rPr>
          <w:rFonts w:cs="Times New Roman"/>
          <w:lang w:bidi="ar"/>
        </w:rPr>
        <w:t>。</w:t>
      </w:r>
    </w:p>
    <w:p>
      <w:pPr>
        <w:pStyle w:val="69"/>
        <w:numPr>
          <w:ilvl w:val="0"/>
          <w:numId w:val="0"/>
        </w:numPr>
        <w:rPr>
          <w:lang w:bidi="ar"/>
        </w:rPr>
      </w:pPr>
      <w:bookmarkStart w:id="68" w:name="_Toc83156812"/>
      <w:bookmarkStart w:id="69" w:name="_Toc83565251"/>
      <w:bookmarkStart w:id="70" w:name="_Toc77932782"/>
      <w:bookmarkStart w:id="71" w:name="_Toc75817450"/>
      <w:bookmarkStart w:id="72" w:name="_Toc83634742"/>
      <w:r>
        <w:rPr>
          <w:lang w:bidi="ar"/>
        </w:rPr>
        <w:t>5.2  建立方式</w:t>
      </w:r>
      <w:bookmarkEnd w:id="68"/>
      <w:bookmarkEnd w:id="69"/>
      <w:bookmarkEnd w:id="70"/>
      <w:bookmarkEnd w:id="71"/>
      <w:bookmarkEnd w:id="72"/>
    </w:p>
    <w:p>
      <w:pPr>
        <w:pStyle w:val="56"/>
        <w:ind w:firstLine="640"/>
        <w:rPr>
          <w:rFonts w:cs="Times New Roman"/>
          <w:lang w:bidi="ar"/>
        </w:rPr>
      </w:pPr>
      <w:r>
        <w:rPr>
          <w:rFonts w:cs="Times New Roman"/>
          <w:lang w:bidi="ar"/>
        </w:rPr>
        <w:t>市生态环境局、市自然资源局</w:t>
      </w:r>
      <w:r>
        <w:rPr>
          <w:rFonts w:hint="eastAsia" w:cs="Times New Roman"/>
          <w:lang w:bidi="ar"/>
        </w:rPr>
        <w:t>根</w:t>
      </w:r>
      <w:r>
        <w:rPr>
          <w:rFonts w:cs="Times New Roman"/>
          <w:lang w:bidi="ar"/>
        </w:rPr>
        <w:t>据自身掌握的与地块相关的数据，结合市工业和信息化局、市市场监督管理局以及土地使用权人提供的资料（</w:t>
      </w:r>
      <w:r>
        <w:rPr>
          <w:rFonts w:hint="eastAsia" w:cs="Times New Roman"/>
          <w:lang w:bidi="ar"/>
        </w:rPr>
        <w:t>附录A</w:t>
      </w:r>
      <w:r>
        <w:rPr>
          <w:rFonts w:cs="Times New Roman"/>
          <w:lang w:bidi="ar"/>
        </w:rPr>
        <w:t>），初步确定全市暂不开发利用地块清单，再下发土地使用权人核实确认后，最终确定全市暂不开发利用地块清单（附录</w:t>
      </w:r>
      <w:r>
        <w:rPr>
          <w:rFonts w:hint="eastAsia" w:cs="Times New Roman"/>
          <w:lang w:bidi="ar"/>
        </w:rPr>
        <w:t>B</w:t>
      </w:r>
      <w:r>
        <w:rPr>
          <w:rFonts w:cs="Times New Roman"/>
          <w:lang w:bidi="ar"/>
        </w:rPr>
        <w:t>）。</w:t>
      </w:r>
      <w:r>
        <w:rPr>
          <w:rFonts w:hint="eastAsia" w:cs="Times New Roman"/>
          <w:lang w:bidi="ar"/>
        </w:rPr>
        <w:t>同时，</w:t>
      </w:r>
      <w:r>
        <w:rPr>
          <w:rFonts w:cs="Times New Roman"/>
          <w:lang w:bidi="ar"/>
        </w:rPr>
        <w:t>暂不开发利用地块清单应根据地块的变动情况适时更新。</w:t>
      </w:r>
    </w:p>
    <w:p>
      <w:pPr>
        <w:pStyle w:val="53"/>
        <w:numPr>
          <w:ilvl w:val="0"/>
          <w:numId w:val="0"/>
        </w:numPr>
        <w:rPr>
          <w:lang w:bidi="ar"/>
        </w:rPr>
      </w:pPr>
      <w:bookmarkStart w:id="73" w:name="_Toc83634743"/>
      <w:bookmarkStart w:id="74" w:name="_Toc83565252"/>
      <w:bookmarkStart w:id="75" w:name="_Toc83156814"/>
      <w:bookmarkStart w:id="76" w:name="_Toc77932784"/>
      <w:bookmarkStart w:id="77" w:name="_Toc75817452"/>
      <w:bookmarkStart w:id="78" w:name="_Toc63547167"/>
      <w:bookmarkStart w:id="79" w:name="_Hlk78377377"/>
      <w:r>
        <w:rPr>
          <w:lang w:bidi="ar"/>
        </w:rPr>
        <w:t>6  暂不开发利用地块关注度分级</w:t>
      </w:r>
      <w:bookmarkEnd w:id="73"/>
      <w:bookmarkEnd w:id="74"/>
      <w:bookmarkEnd w:id="75"/>
      <w:bookmarkEnd w:id="76"/>
      <w:bookmarkEnd w:id="77"/>
      <w:bookmarkEnd w:id="78"/>
    </w:p>
    <w:bookmarkEnd w:id="79"/>
    <w:p>
      <w:pPr>
        <w:pStyle w:val="69"/>
        <w:numPr>
          <w:ilvl w:val="0"/>
          <w:numId w:val="0"/>
        </w:numPr>
        <w:rPr>
          <w:lang w:bidi="ar"/>
        </w:rPr>
      </w:pPr>
      <w:bookmarkStart w:id="80" w:name="_Toc75817453"/>
      <w:bookmarkStart w:id="81" w:name="_Toc77932785"/>
      <w:bookmarkStart w:id="82" w:name="_Toc83634744"/>
      <w:bookmarkStart w:id="83" w:name="_Toc83156815"/>
      <w:bookmarkStart w:id="84" w:name="_Toc83565253"/>
      <w:r>
        <w:rPr>
          <w:lang w:bidi="ar"/>
        </w:rPr>
        <w:t xml:space="preserve">6.1  </w:t>
      </w:r>
      <w:bookmarkEnd w:id="80"/>
      <w:bookmarkEnd w:id="81"/>
      <w:r>
        <w:rPr>
          <w:rFonts w:hint="eastAsia"/>
          <w:lang w:bidi="ar"/>
        </w:rPr>
        <w:t>责任部门</w:t>
      </w:r>
      <w:bookmarkEnd w:id="82"/>
      <w:bookmarkEnd w:id="83"/>
      <w:bookmarkEnd w:id="84"/>
    </w:p>
    <w:p>
      <w:pPr>
        <w:pStyle w:val="56"/>
        <w:ind w:firstLine="640"/>
        <w:rPr>
          <w:rFonts w:cs="Times New Roman"/>
          <w:lang w:bidi="ar"/>
        </w:rPr>
      </w:pPr>
      <w:r>
        <w:rPr>
          <w:rFonts w:cs="Times New Roman"/>
          <w:lang w:bidi="ar"/>
        </w:rPr>
        <w:t>市生态环境局负责，土地使用权人配合。</w:t>
      </w:r>
    </w:p>
    <w:p>
      <w:pPr>
        <w:pStyle w:val="69"/>
        <w:numPr>
          <w:ilvl w:val="0"/>
          <w:numId w:val="0"/>
        </w:numPr>
        <w:rPr>
          <w:lang w:bidi="ar"/>
        </w:rPr>
      </w:pPr>
      <w:bookmarkStart w:id="85" w:name="_Toc83565254"/>
      <w:bookmarkStart w:id="86" w:name="_Toc83634745"/>
      <w:bookmarkStart w:id="87" w:name="_Toc77932786"/>
      <w:bookmarkStart w:id="88" w:name="_Toc83156816"/>
      <w:bookmarkStart w:id="89" w:name="_Toc75817454"/>
      <w:r>
        <w:rPr>
          <w:lang w:bidi="ar"/>
        </w:rPr>
        <w:t xml:space="preserve">6.2  </w:t>
      </w:r>
      <w:r>
        <w:rPr>
          <w:rFonts w:hint="eastAsia"/>
          <w:lang w:bidi="ar"/>
        </w:rPr>
        <w:t>分级</w:t>
      </w:r>
      <w:r>
        <w:rPr>
          <w:lang w:bidi="ar"/>
        </w:rPr>
        <w:t>方式</w:t>
      </w:r>
      <w:bookmarkEnd w:id="85"/>
      <w:bookmarkEnd w:id="86"/>
      <w:bookmarkEnd w:id="87"/>
      <w:bookmarkEnd w:id="88"/>
      <w:bookmarkEnd w:id="89"/>
    </w:p>
    <w:p>
      <w:pPr>
        <w:pStyle w:val="56"/>
        <w:ind w:firstLine="640"/>
        <w:rPr>
          <w:rFonts w:cs="Times New Roman"/>
          <w:lang w:bidi="ar"/>
        </w:rPr>
      </w:pPr>
      <w:r>
        <w:rPr>
          <w:rFonts w:cs="Times New Roman"/>
          <w:lang w:bidi="ar"/>
        </w:rPr>
        <w:t>若地块已纳入</w:t>
      </w:r>
      <w:r>
        <w:rPr>
          <w:rFonts w:hint="eastAsia" w:cs="Times New Roman"/>
          <w:lang w:bidi="ar"/>
        </w:rPr>
        <w:t>重点行业企业用地土壤污染状况调查</w:t>
      </w:r>
      <w:r>
        <w:rPr>
          <w:rFonts w:cs="Times New Roman"/>
          <w:lang w:bidi="ar"/>
        </w:rPr>
        <w:t>，市生态环境局可直接使用调查成果</w:t>
      </w:r>
      <w:r>
        <w:rPr>
          <w:rFonts w:hint="eastAsia" w:cs="Times New Roman"/>
          <w:lang w:bidi="ar"/>
        </w:rPr>
        <w:t>所</w:t>
      </w:r>
      <w:r>
        <w:rPr>
          <w:rFonts w:cs="Times New Roman"/>
          <w:lang w:bidi="ar"/>
        </w:rPr>
        <w:t>确定</w:t>
      </w:r>
      <w:r>
        <w:rPr>
          <w:rFonts w:hint="eastAsia" w:cs="Times New Roman"/>
          <w:lang w:bidi="ar"/>
        </w:rPr>
        <w:t>的</w:t>
      </w:r>
      <w:r>
        <w:rPr>
          <w:rFonts w:cs="Times New Roman"/>
          <w:lang w:bidi="ar"/>
        </w:rPr>
        <w:t>地块关注度</w:t>
      </w:r>
      <w:r>
        <w:rPr>
          <w:rFonts w:hint="eastAsia" w:cs="Times New Roman"/>
          <w:lang w:bidi="ar"/>
        </w:rPr>
        <w:t>分级</w:t>
      </w:r>
      <w:r>
        <w:rPr>
          <w:rFonts w:cs="Times New Roman"/>
          <w:lang w:bidi="ar"/>
        </w:rPr>
        <w:t>；若地块未纳入</w:t>
      </w:r>
      <w:r>
        <w:rPr>
          <w:rFonts w:hint="eastAsia" w:cs="Times New Roman"/>
        </w:rPr>
        <w:t>重点行业企业用地土壤污染状况调查</w:t>
      </w:r>
      <w:r>
        <w:rPr>
          <w:rFonts w:cs="Times New Roman"/>
        </w:rPr>
        <w:t>，</w:t>
      </w:r>
      <w:bookmarkStart w:id="90" w:name="_Hlk78381502"/>
      <w:r>
        <w:rPr>
          <w:rFonts w:cs="Times New Roman"/>
        </w:rPr>
        <w:t>土地使用权人</w:t>
      </w:r>
      <w:r>
        <w:rPr>
          <w:rFonts w:hint="eastAsia" w:cs="Times New Roman"/>
        </w:rPr>
        <w:t>可执行</w:t>
      </w:r>
      <w:r>
        <w:rPr>
          <w:rFonts w:cs="Times New Roman"/>
        </w:rPr>
        <w:t>《重点行业企业用地调查信息采集技术规定（试行）》填报</w:t>
      </w:r>
      <w:r>
        <w:rPr>
          <w:rFonts w:cs="Times New Roman"/>
          <w:lang w:bidi="ar"/>
        </w:rPr>
        <w:t>暂不开发利用地块</w:t>
      </w:r>
      <w:r>
        <w:rPr>
          <w:rFonts w:hint="eastAsia" w:cs="Times New Roman"/>
          <w:lang w:bidi="ar"/>
        </w:rPr>
        <w:t>的</w:t>
      </w:r>
      <w:r>
        <w:rPr>
          <w:rFonts w:cs="Times New Roman"/>
        </w:rPr>
        <w:t>基础信息收集表</w:t>
      </w:r>
      <w:bookmarkEnd w:id="90"/>
      <w:r>
        <w:rPr>
          <w:rFonts w:cs="Times New Roman"/>
          <w:lang w:bidi="ar"/>
        </w:rPr>
        <w:t>，</w:t>
      </w:r>
      <w:bookmarkStart w:id="91" w:name="_Hlk78381514"/>
      <w:r>
        <w:rPr>
          <w:rFonts w:cs="Times New Roman"/>
          <w:lang w:bidi="ar"/>
        </w:rPr>
        <w:t>市生态环境局</w:t>
      </w:r>
      <w:r>
        <w:rPr>
          <w:rFonts w:hint="eastAsia" w:cs="Times New Roman"/>
          <w:lang w:bidi="ar"/>
        </w:rPr>
        <w:t>执行</w:t>
      </w:r>
      <w:r>
        <w:rPr>
          <w:rFonts w:cs="Times New Roman"/>
          <w:lang w:bidi="ar"/>
        </w:rPr>
        <w:t>《关闭搬迁企业地块风险筛查与风险分级技术规定（试行）》</w:t>
      </w:r>
      <w:r>
        <w:rPr>
          <w:rFonts w:hint="eastAsia" w:cs="Times New Roman"/>
          <w:lang w:bidi="ar"/>
        </w:rPr>
        <w:t>的风险筛查与风险分级工作程序</w:t>
      </w:r>
      <w:bookmarkStart w:id="92" w:name="_Toc468107827"/>
      <w:bookmarkEnd w:id="92"/>
      <w:bookmarkStart w:id="93" w:name="_Toc468869018"/>
      <w:bookmarkEnd w:id="93"/>
      <w:r>
        <w:rPr>
          <w:rFonts w:hint="eastAsia" w:cs="Times New Roman"/>
          <w:lang w:bidi="ar"/>
        </w:rPr>
        <w:t>对</w:t>
      </w:r>
      <w:r>
        <w:rPr>
          <w:rFonts w:cs="Times New Roman"/>
          <w:lang w:bidi="ar"/>
        </w:rPr>
        <w:t>暂不开发利用地块</w:t>
      </w:r>
      <w:r>
        <w:rPr>
          <w:rFonts w:hint="eastAsia" w:cs="Times New Roman"/>
          <w:lang w:bidi="ar"/>
        </w:rPr>
        <w:t>进行</w:t>
      </w:r>
      <w:r>
        <w:rPr>
          <w:rFonts w:cs="Times New Roman"/>
          <w:lang w:bidi="ar"/>
        </w:rPr>
        <w:t>关注度</w:t>
      </w:r>
      <w:bookmarkEnd w:id="91"/>
      <w:r>
        <w:rPr>
          <w:rFonts w:hint="eastAsia" w:cs="Times New Roman"/>
          <w:lang w:bidi="ar"/>
        </w:rPr>
        <w:t>分级</w:t>
      </w:r>
      <w:r>
        <w:rPr>
          <w:rFonts w:cs="Times New Roman"/>
          <w:lang w:bidi="ar"/>
        </w:rPr>
        <w:t>，具体分级原则、标准等可根据</w:t>
      </w:r>
      <w:r>
        <w:rPr>
          <w:rFonts w:hint="eastAsia" w:cs="Times New Roman"/>
          <w:lang w:bidi="ar"/>
        </w:rPr>
        <w:t>韶关市</w:t>
      </w:r>
      <w:r>
        <w:rPr>
          <w:rFonts w:cs="Times New Roman"/>
          <w:lang w:bidi="ar"/>
        </w:rPr>
        <w:t>实际状况进行调整。</w:t>
      </w:r>
      <w:bookmarkStart w:id="94" w:name="_Toc63547168"/>
    </w:p>
    <w:p>
      <w:pPr>
        <w:pStyle w:val="53"/>
        <w:numPr>
          <w:ilvl w:val="0"/>
          <w:numId w:val="0"/>
        </w:numPr>
        <w:rPr>
          <w:lang w:bidi="ar"/>
        </w:rPr>
      </w:pPr>
      <w:bookmarkStart w:id="95" w:name="_Toc83565255"/>
      <w:bookmarkStart w:id="96" w:name="_Toc83634746"/>
      <w:bookmarkStart w:id="97" w:name="_Toc77932788"/>
      <w:bookmarkStart w:id="98" w:name="_Toc75817456"/>
      <w:bookmarkStart w:id="99" w:name="_Toc83156818"/>
      <w:bookmarkStart w:id="100" w:name="_Hlk78378119"/>
      <w:r>
        <w:rPr>
          <w:lang w:bidi="ar"/>
        </w:rPr>
        <w:t>7  暂不开发利用地块分级管控</w:t>
      </w:r>
      <w:bookmarkEnd w:id="94"/>
      <w:bookmarkEnd w:id="95"/>
      <w:bookmarkEnd w:id="96"/>
      <w:bookmarkEnd w:id="97"/>
      <w:bookmarkEnd w:id="98"/>
      <w:bookmarkEnd w:id="99"/>
    </w:p>
    <w:bookmarkEnd w:id="100"/>
    <w:p>
      <w:pPr>
        <w:pStyle w:val="69"/>
        <w:numPr>
          <w:ilvl w:val="0"/>
          <w:numId w:val="0"/>
        </w:numPr>
        <w:rPr>
          <w:lang w:bidi="ar"/>
        </w:rPr>
      </w:pPr>
      <w:bookmarkStart w:id="101" w:name="_Toc77932789"/>
      <w:bookmarkStart w:id="102" w:name="_Toc83156819"/>
      <w:bookmarkStart w:id="103" w:name="_Toc75817457"/>
      <w:bookmarkStart w:id="104" w:name="_Toc83634747"/>
      <w:bookmarkStart w:id="105" w:name="_Toc83565256"/>
      <w:r>
        <w:rPr>
          <w:lang w:bidi="ar"/>
        </w:rPr>
        <w:t xml:space="preserve">7.1  </w:t>
      </w:r>
      <w:bookmarkEnd w:id="101"/>
      <w:bookmarkEnd w:id="102"/>
      <w:bookmarkEnd w:id="103"/>
      <w:r>
        <w:rPr>
          <w:rFonts w:hint="eastAsia"/>
          <w:lang w:bidi="ar"/>
        </w:rPr>
        <w:t>总体要求</w:t>
      </w:r>
      <w:bookmarkEnd w:id="104"/>
      <w:bookmarkEnd w:id="105"/>
    </w:p>
    <w:p>
      <w:pPr>
        <w:pStyle w:val="56"/>
        <w:ind w:firstLine="640"/>
        <w:rPr>
          <w:rFonts w:cs="Times New Roman"/>
          <w:lang w:bidi="ar"/>
        </w:rPr>
      </w:pPr>
      <w:r>
        <w:rPr>
          <w:rFonts w:cs="Times New Roman"/>
          <w:lang w:bidi="ar"/>
        </w:rPr>
        <w:t>市生态环境局联合市自然资源局依据暂不开发利用地块关注度</w:t>
      </w:r>
      <w:r>
        <w:rPr>
          <w:rFonts w:hint="eastAsia" w:cs="Times New Roman"/>
          <w:lang w:bidi="ar"/>
        </w:rPr>
        <w:t>分</w:t>
      </w:r>
      <w:r>
        <w:rPr>
          <w:rFonts w:cs="Times New Roman"/>
          <w:lang w:bidi="ar"/>
        </w:rPr>
        <w:t>级</w:t>
      </w:r>
      <w:r>
        <w:rPr>
          <w:rFonts w:hint="eastAsia" w:cs="Times New Roman"/>
          <w:lang w:bidi="ar"/>
        </w:rPr>
        <w:t>，向</w:t>
      </w:r>
      <w:r>
        <w:rPr>
          <w:rFonts w:cs="Times New Roman"/>
          <w:lang w:bidi="ar"/>
        </w:rPr>
        <w:t>土地使用权人下达</w:t>
      </w:r>
      <w:r>
        <w:rPr>
          <w:rFonts w:hint="eastAsia" w:cs="Times New Roman"/>
          <w:lang w:bidi="ar"/>
        </w:rPr>
        <w:t>风险</w:t>
      </w:r>
      <w:r>
        <w:rPr>
          <w:rFonts w:cs="Times New Roman"/>
          <w:lang w:bidi="ar"/>
        </w:rPr>
        <w:t>管控通知</w:t>
      </w:r>
      <w:r>
        <w:rPr>
          <w:rFonts w:hint="eastAsia" w:cs="Times New Roman"/>
          <w:lang w:bidi="ar"/>
        </w:rPr>
        <w:t>，</w:t>
      </w:r>
      <w:r>
        <w:rPr>
          <w:rFonts w:cs="Times New Roman"/>
          <w:lang w:bidi="ar"/>
        </w:rPr>
        <w:t>督促土地使用权人编制《暂不开发利用地块风险管控方案》</w:t>
      </w:r>
      <w:r>
        <w:rPr>
          <w:rFonts w:hint="eastAsia" w:cs="Times New Roman"/>
          <w:lang w:bidi="ar"/>
        </w:rPr>
        <w:t>，以采取相应的风险管控措施。</w:t>
      </w:r>
    </w:p>
    <w:p>
      <w:pPr>
        <w:pStyle w:val="56"/>
        <w:ind w:firstLine="640"/>
        <w:rPr>
          <w:rFonts w:cs="Times New Roman"/>
          <w:lang w:bidi="ar"/>
        </w:rPr>
      </w:pPr>
      <w:r>
        <w:rPr>
          <w:rFonts w:cs="Times New Roman"/>
          <w:lang w:bidi="ar"/>
        </w:rPr>
        <w:t>土地使用权人接到风险管控通知后，按要求编制风险管控方案，</w:t>
      </w:r>
      <w:r>
        <w:rPr>
          <w:rFonts w:hint="eastAsia" w:cs="Times New Roman"/>
          <w:lang w:bidi="ar"/>
        </w:rPr>
        <w:t>并</w:t>
      </w:r>
      <w:r>
        <w:rPr>
          <w:rFonts w:cs="Times New Roman"/>
          <w:lang w:bidi="ar"/>
        </w:rPr>
        <w:t>经专家咨询后报送市生态环境局和市自然资源局</w:t>
      </w:r>
      <w:r>
        <w:rPr>
          <w:rFonts w:hint="eastAsia" w:cs="Times New Roman"/>
          <w:lang w:bidi="ar"/>
        </w:rPr>
        <w:t>进行备案</w:t>
      </w:r>
      <w:r>
        <w:rPr>
          <w:rFonts w:cs="Times New Roman"/>
          <w:lang w:bidi="ar"/>
        </w:rPr>
        <w:t>，上述工作</w:t>
      </w:r>
      <w:r>
        <w:rPr>
          <w:rFonts w:hint="eastAsia" w:cs="Times New Roman"/>
          <w:lang w:bidi="ar"/>
        </w:rPr>
        <w:t>限期</w:t>
      </w:r>
      <w:r>
        <w:rPr>
          <w:rFonts w:cs="Times New Roman"/>
          <w:lang w:bidi="ar"/>
        </w:rPr>
        <w:t>三个月完成。</w:t>
      </w:r>
      <w:r>
        <w:rPr>
          <w:rFonts w:hint="eastAsia" w:cs="Times New Roman"/>
          <w:lang w:bidi="ar"/>
        </w:rPr>
        <w:t>在对风险管控方案进行备案后，方可开展相应的管控工作，</w:t>
      </w:r>
      <w:r>
        <w:rPr>
          <w:rFonts w:cs="Times New Roman"/>
          <w:lang w:bidi="ar"/>
        </w:rPr>
        <w:t>管控措施</w:t>
      </w:r>
      <w:r>
        <w:rPr>
          <w:rFonts w:hint="eastAsia" w:cs="Times New Roman"/>
          <w:lang w:bidi="ar"/>
        </w:rPr>
        <w:t>的</w:t>
      </w:r>
      <w:r>
        <w:rPr>
          <w:rFonts w:cs="Times New Roman"/>
          <w:lang w:bidi="ar"/>
        </w:rPr>
        <w:t>完成时间</w:t>
      </w:r>
      <w:r>
        <w:rPr>
          <w:rFonts w:hint="eastAsia" w:cs="Times New Roman"/>
          <w:lang w:bidi="ar"/>
        </w:rPr>
        <w:t>应</w:t>
      </w:r>
      <w:r>
        <w:rPr>
          <w:rFonts w:cs="Times New Roman"/>
          <w:lang w:bidi="ar"/>
        </w:rPr>
        <w:t>与方案</w:t>
      </w:r>
      <w:r>
        <w:rPr>
          <w:rFonts w:hint="eastAsia" w:cs="Times New Roman"/>
          <w:lang w:bidi="ar"/>
        </w:rPr>
        <w:t>的</w:t>
      </w:r>
      <w:r>
        <w:rPr>
          <w:rFonts w:cs="Times New Roman"/>
          <w:lang w:bidi="ar"/>
        </w:rPr>
        <w:t>进度安排相一致。</w:t>
      </w:r>
    </w:p>
    <w:p>
      <w:pPr>
        <w:pStyle w:val="56"/>
        <w:ind w:firstLine="640"/>
        <w:rPr>
          <w:rFonts w:cs="Times New Roman"/>
          <w:lang w:bidi="ar"/>
        </w:rPr>
      </w:pPr>
      <w:r>
        <w:rPr>
          <w:rFonts w:hint="eastAsia" w:cs="Times New Roman"/>
          <w:lang w:bidi="ar"/>
        </w:rPr>
        <w:t>在采取</w:t>
      </w:r>
      <w:r>
        <w:rPr>
          <w:rFonts w:cs="Times New Roman"/>
          <w:lang w:bidi="ar"/>
        </w:rPr>
        <w:t>风险管控</w:t>
      </w:r>
      <w:r>
        <w:rPr>
          <w:rFonts w:hint="eastAsia" w:cs="Times New Roman"/>
          <w:lang w:bidi="ar"/>
        </w:rPr>
        <w:t>措施</w:t>
      </w:r>
      <w:r>
        <w:rPr>
          <w:rFonts w:cs="Times New Roman"/>
          <w:lang w:bidi="ar"/>
        </w:rPr>
        <w:t>前</w:t>
      </w:r>
      <w:r>
        <w:rPr>
          <w:rFonts w:hint="eastAsia" w:cs="Times New Roman"/>
          <w:lang w:bidi="ar"/>
        </w:rPr>
        <w:t>，</w:t>
      </w:r>
      <w:r>
        <w:rPr>
          <w:rFonts w:cs="Times New Roman"/>
          <w:lang w:bidi="ar"/>
        </w:rPr>
        <w:t>需要对地块原生产过程中产生的污染源进行清理或移除，对生产环节中可能产生污染物的生产场所、生产设施等进行拆除，具体</w:t>
      </w:r>
      <w:r>
        <w:rPr>
          <w:rFonts w:hint="eastAsia" w:cs="Times New Roman"/>
          <w:lang w:bidi="ar"/>
        </w:rPr>
        <w:t>参</w:t>
      </w:r>
      <w:r>
        <w:rPr>
          <w:rFonts w:cs="Times New Roman"/>
          <w:lang w:bidi="ar"/>
        </w:rPr>
        <w:t>照《企业拆除活动污染防治技术规定（试行）》执行。</w:t>
      </w:r>
    </w:p>
    <w:p>
      <w:pPr>
        <w:pStyle w:val="69"/>
        <w:numPr>
          <w:ilvl w:val="0"/>
          <w:numId w:val="0"/>
        </w:numPr>
        <w:rPr>
          <w:lang w:bidi="ar"/>
        </w:rPr>
      </w:pPr>
      <w:bookmarkStart w:id="106" w:name="_Toc69994190"/>
      <w:bookmarkEnd w:id="106"/>
      <w:bookmarkStart w:id="107" w:name="_Toc69994045"/>
      <w:bookmarkEnd w:id="107"/>
      <w:bookmarkStart w:id="108" w:name="_Toc68165960"/>
      <w:bookmarkStart w:id="109" w:name="_Toc75817458"/>
      <w:bookmarkStart w:id="110" w:name="_Toc77932790"/>
      <w:bookmarkStart w:id="111" w:name="_Toc83156820"/>
      <w:bookmarkStart w:id="112" w:name="_Toc83634748"/>
      <w:bookmarkStart w:id="113" w:name="_Toc83565257"/>
      <w:r>
        <w:rPr>
          <w:lang w:bidi="ar"/>
        </w:rPr>
        <w:t xml:space="preserve">7.2  </w:t>
      </w:r>
      <w:bookmarkStart w:id="114" w:name="_Hlk78381645"/>
      <w:r>
        <w:rPr>
          <w:lang w:bidi="ar"/>
        </w:rPr>
        <w:t>风险管控方案</w:t>
      </w:r>
      <w:bookmarkEnd w:id="108"/>
      <w:bookmarkEnd w:id="109"/>
      <w:bookmarkEnd w:id="110"/>
      <w:bookmarkEnd w:id="111"/>
      <w:bookmarkEnd w:id="114"/>
      <w:r>
        <w:rPr>
          <w:rFonts w:hint="eastAsia"/>
          <w:lang w:bidi="ar"/>
        </w:rPr>
        <w:t>编制</w:t>
      </w:r>
      <w:bookmarkEnd w:id="112"/>
      <w:bookmarkEnd w:id="113"/>
    </w:p>
    <w:p>
      <w:pPr>
        <w:pStyle w:val="56"/>
        <w:ind w:firstLine="640"/>
        <w:rPr>
          <w:rFonts w:cs="Times New Roman"/>
          <w:lang w:bidi="ar"/>
        </w:rPr>
      </w:pPr>
      <w:bookmarkStart w:id="115" w:name="_Hlk78378154"/>
      <w:r>
        <w:rPr>
          <w:rFonts w:cs="Times New Roman"/>
          <w:lang w:bidi="ar"/>
        </w:rPr>
        <w:t>土地使用权人</w:t>
      </w:r>
      <w:bookmarkEnd w:id="115"/>
      <w:bookmarkStart w:id="116" w:name="_Hlk78381969"/>
      <w:r>
        <w:rPr>
          <w:rFonts w:hint="eastAsia" w:cs="Times New Roman"/>
          <w:lang w:bidi="ar"/>
        </w:rPr>
        <w:t>参照附录C</w:t>
      </w:r>
      <w:r>
        <w:rPr>
          <w:rFonts w:cs="Times New Roman"/>
          <w:lang w:bidi="ar"/>
        </w:rPr>
        <w:t>编制《暂不开发利用地块风险管控方案》</w:t>
      </w:r>
      <w:bookmarkEnd w:id="116"/>
      <w:r>
        <w:rPr>
          <w:rFonts w:cs="Times New Roman"/>
          <w:lang w:bidi="ar"/>
        </w:rPr>
        <w:t>。该方案应包括风险管控区域、目标、主要措施、环境监测计划以及应急预案等内容</w:t>
      </w:r>
      <w:r>
        <w:rPr>
          <w:rFonts w:hint="eastAsia" w:cs="Times New Roman"/>
          <w:lang w:bidi="ar"/>
        </w:rPr>
        <w:t>，具体</w:t>
      </w:r>
      <w:r>
        <w:rPr>
          <w:rFonts w:cs="Times New Roman"/>
          <w:lang w:bidi="ar"/>
        </w:rPr>
        <w:t>可根据地块的实际情况及特征进行调整或增减。</w:t>
      </w:r>
    </w:p>
    <w:p>
      <w:pPr>
        <w:pStyle w:val="69"/>
        <w:numPr>
          <w:ilvl w:val="0"/>
          <w:numId w:val="0"/>
        </w:numPr>
        <w:rPr>
          <w:lang w:bidi="ar"/>
        </w:rPr>
      </w:pPr>
      <w:bookmarkStart w:id="117" w:name="_Toc83634749"/>
      <w:bookmarkStart w:id="118" w:name="_Toc83565258"/>
      <w:bookmarkStart w:id="119" w:name="_Toc77932791"/>
      <w:bookmarkStart w:id="120" w:name="_Toc75817459"/>
      <w:bookmarkStart w:id="121" w:name="_Toc83156821"/>
      <w:r>
        <w:rPr>
          <w:lang w:bidi="ar"/>
        </w:rPr>
        <w:t xml:space="preserve">7.3  </w:t>
      </w:r>
      <w:r>
        <w:rPr>
          <w:rFonts w:hint="eastAsia"/>
          <w:lang w:bidi="ar"/>
        </w:rPr>
        <w:t>风险</w:t>
      </w:r>
      <w:r>
        <w:rPr>
          <w:lang w:bidi="ar"/>
        </w:rPr>
        <w:t>管控措施选择</w:t>
      </w:r>
      <w:bookmarkEnd w:id="117"/>
      <w:bookmarkEnd w:id="118"/>
      <w:bookmarkEnd w:id="119"/>
      <w:bookmarkEnd w:id="120"/>
      <w:bookmarkEnd w:id="121"/>
    </w:p>
    <w:p>
      <w:pPr>
        <w:pStyle w:val="56"/>
        <w:ind w:firstLine="640"/>
        <w:rPr>
          <w:rFonts w:cs="Times New Roman"/>
          <w:lang w:bidi="ar"/>
        </w:rPr>
      </w:pPr>
      <w:r>
        <w:rPr>
          <w:rFonts w:cs="Times New Roman"/>
          <w:lang w:bidi="ar"/>
        </w:rPr>
        <w:t>暂不开发利用地块</w:t>
      </w:r>
      <w:r>
        <w:rPr>
          <w:rFonts w:hint="eastAsia" w:cs="Times New Roman"/>
          <w:lang w:bidi="ar"/>
        </w:rPr>
        <w:t>的风险管控措施分为初步管控和工程管控，</w:t>
      </w:r>
      <w:r>
        <w:rPr>
          <w:rFonts w:cs="Times New Roman"/>
          <w:lang w:bidi="ar"/>
        </w:rPr>
        <w:t>土地使用权人</w:t>
      </w:r>
      <w:r>
        <w:rPr>
          <w:rFonts w:hint="eastAsia" w:cs="Times New Roman"/>
          <w:lang w:bidi="ar"/>
        </w:rPr>
        <w:t>可</w:t>
      </w:r>
      <w:r>
        <w:rPr>
          <w:rFonts w:cs="Times New Roman"/>
          <w:lang w:bidi="ar"/>
        </w:rPr>
        <w:t>根据地块特征</w:t>
      </w:r>
      <w:r>
        <w:rPr>
          <w:rFonts w:hint="eastAsia" w:cs="Times New Roman"/>
          <w:lang w:bidi="ar"/>
        </w:rPr>
        <w:t>，参</w:t>
      </w:r>
      <w:r>
        <w:rPr>
          <w:rFonts w:cs="Times New Roman"/>
          <w:lang w:bidi="ar"/>
        </w:rPr>
        <w:t>照附录</w:t>
      </w:r>
      <w:r>
        <w:rPr>
          <w:rFonts w:hint="eastAsia" w:cs="Times New Roman"/>
          <w:lang w:bidi="ar"/>
        </w:rPr>
        <w:t>D</w:t>
      </w:r>
      <w:r>
        <w:rPr>
          <w:rFonts w:cs="Times New Roman"/>
          <w:lang w:bidi="ar"/>
        </w:rPr>
        <w:t>选取适合的风险管控措施，也可根据专家组意见、建议等选择本指南外的其他管控措施。</w:t>
      </w:r>
    </w:p>
    <w:p>
      <w:pPr>
        <w:pStyle w:val="69"/>
        <w:numPr>
          <w:ilvl w:val="0"/>
          <w:numId w:val="0"/>
        </w:numPr>
        <w:outlineLvl w:val="2"/>
        <w:rPr>
          <w:lang w:bidi="ar"/>
        </w:rPr>
      </w:pPr>
      <w:bookmarkStart w:id="122" w:name="_Toc71584568"/>
      <w:bookmarkEnd w:id="122"/>
      <w:bookmarkStart w:id="123" w:name="_Toc75817393"/>
      <w:bookmarkEnd w:id="123"/>
      <w:bookmarkStart w:id="124" w:name="_Toc75817460"/>
      <w:bookmarkEnd w:id="124"/>
      <w:bookmarkStart w:id="125" w:name="_Toc69994194"/>
      <w:bookmarkEnd w:id="125"/>
      <w:bookmarkStart w:id="126" w:name="_Toc69994208"/>
      <w:bookmarkEnd w:id="126"/>
      <w:bookmarkStart w:id="127" w:name="_Toc69994049"/>
      <w:bookmarkEnd w:id="127"/>
      <w:bookmarkStart w:id="128" w:name="_Toc69994063"/>
      <w:bookmarkEnd w:id="128"/>
      <w:bookmarkStart w:id="129" w:name="_Toc69994071"/>
      <w:bookmarkEnd w:id="129"/>
      <w:bookmarkStart w:id="130" w:name="_Toc69994193"/>
      <w:bookmarkEnd w:id="130"/>
      <w:bookmarkStart w:id="131" w:name="_Toc69994074"/>
      <w:bookmarkEnd w:id="131"/>
      <w:bookmarkStart w:id="132" w:name="_Toc69994219"/>
      <w:bookmarkEnd w:id="132"/>
      <w:bookmarkStart w:id="133" w:name="_Toc69994077"/>
      <w:bookmarkEnd w:id="133"/>
      <w:bookmarkStart w:id="134" w:name="_Toc69994048"/>
      <w:bookmarkEnd w:id="134"/>
      <w:bookmarkStart w:id="135" w:name="_Toc69994205"/>
      <w:bookmarkEnd w:id="135"/>
      <w:bookmarkStart w:id="136" w:name="_Toc69994060"/>
      <w:bookmarkEnd w:id="136"/>
      <w:bookmarkStart w:id="137" w:name="_Toc69994066"/>
      <w:bookmarkEnd w:id="137"/>
      <w:bookmarkStart w:id="138" w:name="_Toc69994055"/>
      <w:bookmarkEnd w:id="138"/>
      <w:bookmarkStart w:id="139" w:name="_Toc69994211"/>
      <w:bookmarkEnd w:id="139"/>
      <w:bookmarkStart w:id="140" w:name="_Toc69994216"/>
      <w:bookmarkEnd w:id="140"/>
      <w:bookmarkStart w:id="141" w:name="_Toc69994225"/>
      <w:bookmarkEnd w:id="141"/>
      <w:bookmarkStart w:id="142" w:name="_Toc69994231"/>
      <w:bookmarkEnd w:id="142"/>
      <w:bookmarkStart w:id="143" w:name="_Toc69994228"/>
      <w:bookmarkEnd w:id="143"/>
      <w:bookmarkStart w:id="144" w:name="_Toc69994080"/>
      <w:bookmarkEnd w:id="144"/>
      <w:bookmarkStart w:id="145" w:name="_Toc69994086"/>
      <w:bookmarkEnd w:id="145"/>
      <w:bookmarkStart w:id="146" w:name="_Toc69994083"/>
      <w:bookmarkEnd w:id="146"/>
      <w:bookmarkStart w:id="147" w:name="_Toc69994200"/>
      <w:bookmarkEnd w:id="147"/>
      <w:bookmarkStart w:id="148" w:name="_Toc69994222"/>
      <w:bookmarkEnd w:id="148"/>
      <w:bookmarkStart w:id="149" w:name="_Toc75817461"/>
      <w:bookmarkStart w:id="150" w:name="_Toc77932792"/>
      <w:bookmarkStart w:id="151" w:name="_Toc83156822"/>
      <w:bookmarkStart w:id="152" w:name="_Toc83565259"/>
      <w:bookmarkStart w:id="153" w:name="_Toc83634750"/>
      <w:r>
        <w:rPr>
          <w:lang w:bidi="ar"/>
        </w:rPr>
        <w:t>7.3.1  初步</w:t>
      </w:r>
      <w:bookmarkEnd w:id="149"/>
      <w:r>
        <w:rPr>
          <w:lang w:bidi="ar"/>
        </w:rPr>
        <w:t>管控</w:t>
      </w:r>
      <w:bookmarkEnd w:id="150"/>
      <w:bookmarkEnd w:id="151"/>
      <w:bookmarkEnd w:id="152"/>
      <w:bookmarkEnd w:id="153"/>
    </w:p>
    <w:p>
      <w:pPr>
        <w:pStyle w:val="56"/>
        <w:ind w:firstLine="640"/>
        <w:rPr>
          <w:rFonts w:cs="Times New Roman"/>
          <w:lang w:bidi="ar"/>
        </w:rPr>
      </w:pPr>
      <w:r>
        <w:rPr>
          <w:rFonts w:cs="Times New Roman"/>
          <w:lang w:bidi="ar"/>
        </w:rPr>
        <w:t>暂不开发利用地块</w:t>
      </w:r>
      <w:r>
        <w:rPr>
          <w:rFonts w:hint="eastAsia" w:cs="Times New Roman"/>
          <w:lang w:bidi="ar"/>
        </w:rPr>
        <w:t>的</w:t>
      </w:r>
      <w:r>
        <w:rPr>
          <w:rFonts w:cs="Times New Roman"/>
          <w:lang w:bidi="ar"/>
        </w:rPr>
        <w:t>初步管控措施应包括设置管控区边界围挡、设置地块信息公告牌、地块资料管理、配备管控人员、隔离重点区域、信息监控</w:t>
      </w:r>
      <w:r>
        <w:rPr>
          <w:rFonts w:hint="eastAsia" w:cs="Times New Roman"/>
          <w:lang w:bidi="ar"/>
        </w:rPr>
        <w:t>与</w:t>
      </w:r>
      <w:r>
        <w:rPr>
          <w:rFonts w:cs="Times New Roman"/>
          <w:lang w:bidi="ar"/>
        </w:rPr>
        <w:t>识别、土工膜表层覆盖</w:t>
      </w:r>
      <w:r>
        <w:rPr>
          <w:rFonts w:hint="eastAsia" w:cs="Times New Roman"/>
          <w:lang w:bidi="ar"/>
        </w:rPr>
        <w:t>、</w:t>
      </w:r>
      <w:r>
        <w:rPr>
          <w:rFonts w:cs="Times New Roman"/>
          <w:lang w:bidi="ar"/>
        </w:rPr>
        <w:t>防尘网铺设等内容。土地使用权人可根据地块的</w:t>
      </w:r>
      <w:r>
        <w:rPr>
          <w:rFonts w:hint="eastAsia" w:cs="Times New Roman"/>
          <w:lang w:bidi="ar"/>
        </w:rPr>
        <w:t>实际</w:t>
      </w:r>
      <w:r>
        <w:rPr>
          <w:rFonts w:cs="Times New Roman"/>
          <w:lang w:bidi="ar"/>
        </w:rPr>
        <w:t>情况在管控方案中选用合适的初步管控措施。</w:t>
      </w:r>
    </w:p>
    <w:p>
      <w:pPr>
        <w:pStyle w:val="78"/>
        <w:numPr>
          <w:ilvl w:val="0"/>
          <w:numId w:val="0"/>
        </w:numPr>
        <w:outlineLvl w:val="3"/>
        <w:rPr>
          <w:rFonts w:cs="Times New Roman"/>
          <w:lang w:bidi="ar"/>
        </w:rPr>
      </w:pPr>
      <w:bookmarkStart w:id="154" w:name="_Toc69994235"/>
      <w:bookmarkStart w:id="155" w:name="_Toc75817462"/>
      <w:bookmarkStart w:id="156" w:name="_Toc83156823"/>
      <w:bookmarkStart w:id="157" w:name="_Toc83634751"/>
      <w:bookmarkStart w:id="158" w:name="_Toc83565260"/>
      <w:r>
        <w:rPr>
          <w:rFonts w:cs="Times New Roman"/>
          <w:lang w:bidi="ar"/>
        </w:rPr>
        <w:t>7.3.1.1  设置管控区边界围挡</w:t>
      </w:r>
      <w:bookmarkEnd w:id="154"/>
      <w:bookmarkEnd w:id="155"/>
      <w:bookmarkEnd w:id="156"/>
      <w:bookmarkEnd w:id="157"/>
      <w:bookmarkEnd w:id="158"/>
    </w:p>
    <w:p>
      <w:pPr>
        <w:pStyle w:val="56"/>
        <w:ind w:firstLine="640"/>
        <w:rPr>
          <w:rFonts w:cs="Times New Roman"/>
          <w:lang w:bidi="ar"/>
        </w:rPr>
      </w:pPr>
      <w:r>
        <w:rPr>
          <w:rFonts w:cs="Times New Roman"/>
          <w:lang w:bidi="ar"/>
        </w:rPr>
        <w:t>管控区域边界围挡可限制地块使用</w:t>
      </w:r>
      <w:r>
        <w:rPr>
          <w:rFonts w:hint="eastAsia" w:cs="Times New Roman"/>
          <w:lang w:bidi="ar"/>
        </w:rPr>
        <w:t>以及</w:t>
      </w:r>
      <w:r>
        <w:rPr>
          <w:rFonts w:cs="Times New Roman"/>
          <w:lang w:bidi="ar"/>
        </w:rPr>
        <w:t>人员活动。围挡必须安全稳固，围挡外侧与道路衔接处应采用绿化或者硬化铺装措施。围挡宜选用定型板材、砌体等硬质材料，达到隔离防护作用，围挡损坏时应及时修补。定型板材围挡应参照《施工现场临时建筑物技术规范》（JGJ 188）</w:t>
      </w:r>
      <w:r>
        <w:rPr>
          <w:rFonts w:hint="eastAsia" w:cs="Times New Roman"/>
          <w:lang w:bidi="ar"/>
        </w:rPr>
        <w:t>、</w:t>
      </w:r>
      <w:r>
        <w:rPr>
          <w:rFonts w:cs="Times New Roman"/>
          <w:lang w:bidi="ar"/>
        </w:rPr>
        <w:t>《施工企业安全生产评价标准》（JGJ/T 77）的要求进行设置。砌体围挡厚度不宜小于200毫米，其墙柱和基础砌筑应参照《砌体结构设计规范》（GB 50003）</w:t>
      </w:r>
      <w:r>
        <w:rPr>
          <w:rFonts w:hint="eastAsia" w:cs="Times New Roman"/>
          <w:lang w:bidi="ar"/>
        </w:rPr>
        <w:t>、</w:t>
      </w:r>
      <w:r>
        <w:rPr>
          <w:rFonts w:cs="Times New Roman"/>
          <w:lang w:bidi="ar"/>
        </w:rPr>
        <w:t>《砌体工程施工质量验收规范》（GB 50203）的要求进行设置。</w:t>
      </w:r>
    </w:p>
    <w:p>
      <w:pPr>
        <w:pStyle w:val="78"/>
        <w:numPr>
          <w:ilvl w:val="0"/>
          <w:numId w:val="0"/>
        </w:numPr>
        <w:outlineLvl w:val="3"/>
        <w:rPr>
          <w:rFonts w:cs="Times New Roman"/>
          <w:lang w:bidi="ar"/>
        </w:rPr>
      </w:pPr>
      <w:bookmarkStart w:id="159" w:name="_Toc69994236"/>
      <w:bookmarkStart w:id="160" w:name="_Toc75817463"/>
      <w:bookmarkStart w:id="161" w:name="_Toc83156824"/>
      <w:bookmarkStart w:id="162" w:name="_Toc83565261"/>
      <w:bookmarkStart w:id="163" w:name="_Toc83634752"/>
      <w:r>
        <w:rPr>
          <w:rFonts w:cs="Times New Roman"/>
          <w:lang w:bidi="ar"/>
        </w:rPr>
        <w:t>7.3.1.2  设置地块信息公告牌</w:t>
      </w:r>
      <w:bookmarkEnd w:id="159"/>
      <w:bookmarkEnd w:id="160"/>
      <w:bookmarkEnd w:id="161"/>
      <w:bookmarkEnd w:id="162"/>
      <w:bookmarkEnd w:id="163"/>
    </w:p>
    <w:p>
      <w:pPr>
        <w:pStyle w:val="56"/>
        <w:ind w:firstLine="640"/>
        <w:rPr>
          <w:rFonts w:cs="Times New Roman"/>
          <w:lang w:bidi="ar"/>
        </w:rPr>
      </w:pPr>
      <w:r>
        <w:rPr>
          <w:rFonts w:cs="Times New Roman"/>
          <w:lang w:bidi="ar"/>
        </w:rPr>
        <w:t>地块信息公告牌应对地块风险管控信息进行公示，设立后不得</w:t>
      </w:r>
      <w:r>
        <w:rPr>
          <w:rFonts w:hint="eastAsia" w:cs="Times New Roman"/>
          <w:lang w:bidi="ar"/>
        </w:rPr>
        <w:t>随意</w:t>
      </w:r>
      <w:r>
        <w:rPr>
          <w:rFonts w:cs="Times New Roman"/>
          <w:lang w:bidi="ar"/>
        </w:rPr>
        <w:t>遮挡、挪动、拆除。标示牌</w:t>
      </w:r>
      <w:r>
        <w:rPr>
          <w:rFonts w:hint="eastAsia" w:cs="Times New Roman"/>
          <w:lang w:bidi="ar"/>
        </w:rPr>
        <w:t>必须</w:t>
      </w:r>
      <w:r>
        <w:rPr>
          <w:rFonts w:cs="Times New Roman"/>
          <w:lang w:bidi="ar"/>
        </w:rPr>
        <w:t>清晰</w:t>
      </w:r>
      <w:r>
        <w:rPr>
          <w:rFonts w:hint="eastAsia" w:cs="Times New Roman"/>
          <w:lang w:bidi="ar"/>
        </w:rPr>
        <w:t>地标明</w:t>
      </w:r>
      <w:r>
        <w:rPr>
          <w:rFonts w:cs="Times New Roman"/>
          <w:lang w:bidi="ar"/>
        </w:rPr>
        <w:t>地块名称、</w:t>
      </w:r>
      <w:r>
        <w:rPr>
          <w:rFonts w:hint="eastAsia" w:cs="Times New Roman"/>
          <w:lang w:bidi="ar"/>
        </w:rPr>
        <w:t>地块</w:t>
      </w:r>
      <w:r>
        <w:rPr>
          <w:rFonts w:cs="Times New Roman"/>
          <w:lang w:bidi="ar"/>
        </w:rPr>
        <w:t>监督管理电话</w:t>
      </w:r>
      <w:r>
        <w:rPr>
          <w:rFonts w:hint="eastAsia" w:cs="Times New Roman"/>
          <w:lang w:bidi="ar"/>
        </w:rPr>
        <w:t>、</w:t>
      </w:r>
      <w:r>
        <w:rPr>
          <w:rFonts w:cs="Times New Roman"/>
          <w:lang w:bidi="ar"/>
        </w:rPr>
        <w:t>地块管控区范围图示以及</w:t>
      </w:r>
      <w:r>
        <w:rPr>
          <w:rFonts w:hint="eastAsia" w:cs="Times New Roman"/>
          <w:lang w:bidi="ar"/>
        </w:rPr>
        <w:t>地块</w:t>
      </w:r>
      <w:r>
        <w:rPr>
          <w:rFonts w:cs="Times New Roman"/>
          <w:lang w:bidi="ar"/>
        </w:rPr>
        <w:t>管控</w:t>
      </w:r>
      <w:r>
        <w:rPr>
          <w:rFonts w:hint="eastAsia" w:cs="Times New Roman"/>
          <w:lang w:bidi="ar"/>
        </w:rPr>
        <w:t>区域</w:t>
      </w:r>
      <w:r>
        <w:rPr>
          <w:rFonts w:cs="Times New Roman"/>
          <w:lang w:bidi="ar"/>
        </w:rPr>
        <w:t>遵守规定情况</w:t>
      </w:r>
      <w:r>
        <w:rPr>
          <w:rFonts w:hint="eastAsia" w:cs="Times New Roman"/>
          <w:lang w:bidi="ar"/>
        </w:rPr>
        <w:t>等</w:t>
      </w:r>
      <w:r>
        <w:rPr>
          <w:rFonts w:cs="Times New Roman"/>
          <w:lang w:bidi="ar"/>
        </w:rPr>
        <w:t>信息</w:t>
      </w:r>
      <w:r>
        <w:rPr>
          <w:rFonts w:hint="eastAsia" w:cs="Times New Roman"/>
          <w:lang w:bidi="ar"/>
        </w:rPr>
        <w:t>。信息公告牌应清晰、简洁、醒目，</w:t>
      </w:r>
      <w:r>
        <w:rPr>
          <w:rFonts w:cs="Times New Roman"/>
          <w:lang w:bidi="ar"/>
        </w:rPr>
        <w:t>内容导向应明确、无歧义。具体标识设计与安装、信息公开与标识管理见附录</w:t>
      </w:r>
      <w:r>
        <w:rPr>
          <w:rFonts w:hint="eastAsia" w:cs="Times New Roman"/>
          <w:lang w:bidi="ar"/>
        </w:rPr>
        <w:t>E</w:t>
      </w:r>
      <w:r>
        <w:rPr>
          <w:rFonts w:cs="Times New Roman"/>
          <w:lang w:bidi="ar"/>
        </w:rPr>
        <w:t>。</w:t>
      </w:r>
    </w:p>
    <w:p>
      <w:pPr>
        <w:pStyle w:val="78"/>
        <w:numPr>
          <w:ilvl w:val="0"/>
          <w:numId w:val="0"/>
        </w:numPr>
        <w:outlineLvl w:val="3"/>
        <w:rPr>
          <w:rFonts w:cs="Times New Roman"/>
          <w:lang w:bidi="ar"/>
        </w:rPr>
      </w:pPr>
      <w:bookmarkStart w:id="164" w:name="_Toc83634753"/>
      <w:bookmarkStart w:id="165" w:name="_Toc83565262"/>
      <w:bookmarkStart w:id="166" w:name="_Toc83156825"/>
      <w:bookmarkStart w:id="167" w:name="_Toc75817464"/>
      <w:bookmarkStart w:id="168" w:name="_Toc69994237"/>
      <w:r>
        <w:rPr>
          <w:rFonts w:cs="Times New Roman"/>
          <w:lang w:bidi="ar"/>
        </w:rPr>
        <w:t>7.3.1.3  地块资料管理</w:t>
      </w:r>
      <w:bookmarkEnd w:id="164"/>
      <w:bookmarkEnd w:id="165"/>
      <w:bookmarkEnd w:id="166"/>
      <w:bookmarkEnd w:id="167"/>
      <w:bookmarkEnd w:id="168"/>
    </w:p>
    <w:p>
      <w:pPr>
        <w:pStyle w:val="56"/>
        <w:ind w:firstLine="640"/>
        <w:rPr>
          <w:rFonts w:cs="Times New Roman"/>
          <w:lang w:bidi="ar"/>
        </w:rPr>
      </w:pPr>
      <w:r>
        <w:rPr>
          <w:rFonts w:cs="Times New Roman"/>
          <w:lang w:bidi="ar"/>
        </w:rPr>
        <w:t>土地使用权人应安排专员负责</w:t>
      </w:r>
      <w:r>
        <w:rPr>
          <w:rFonts w:hint="eastAsia" w:cs="Times New Roman"/>
          <w:lang w:bidi="ar"/>
        </w:rPr>
        <w:t>地块</w:t>
      </w:r>
      <w:r>
        <w:rPr>
          <w:rFonts w:cs="Times New Roman"/>
          <w:lang w:bidi="ar"/>
        </w:rPr>
        <w:t>相关资料</w:t>
      </w:r>
      <w:r>
        <w:rPr>
          <w:rFonts w:hint="eastAsia" w:cs="Times New Roman"/>
          <w:lang w:bidi="ar"/>
        </w:rPr>
        <w:t>的</w:t>
      </w:r>
      <w:r>
        <w:rPr>
          <w:rFonts w:cs="Times New Roman"/>
          <w:lang w:bidi="ar"/>
        </w:rPr>
        <w:t>收集、积累、分析、整理、归档</w:t>
      </w:r>
      <w:r>
        <w:rPr>
          <w:rFonts w:hint="eastAsia" w:cs="Times New Roman"/>
          <w:lang w:bidi="ar"/>
        </w:rPr>
        <w:t>工作</w:t>
      </w:r>
      <w:r>
        <w:rPr>
          <w:rFonts w:cs="Times New Roman"/>
          <w:lang w:bidi="ar"/>
        </w:rPr>
        <w:t>，实现对地块资料的集中统一管理</w:t>
      </w:r>
      <w:r>
        <w:rPr>
          <w:rFonts w:hint="eastAsia" w:cs="Times New Roman"/>
          <w:lang w:bidi="ar"/>
        </w:rPr>
        <w:t>。档案负责专员应</w:t>
      </w:r>
      <w:r>
        <w:rPr>
          <w:rFonts w:cs="Times New Roman"/>
          <w:lang w:bidi="ar"/>
        </w:rPr>
        <w:t>对风险管控措施污染状况调查报告、风险评估报告、风险管控方案、风险管控实施记录、环境监测计划与监测设施建设、监测报告与维护记录等档案进行分类整理，便于日后查阅</w:t>
      </w:r>
      <w:r>
        <w:rPr>
          <w:rFonts w:hint="eastAsia" w:cs="Times New Roman"/>
          <w:lang w:bidi="ar"/>
        </w:rPr>
        <w:t>。</w:t>
      </w:r>
      <w:r>
        <w:rPr>
          <w:rFonts w:cs="Times New Roman"/>
          <w:lang w:bidi="ar"/>
        </w:rPr>
        <w:t>档案负责专员应及时记录有关档案的变动情况，确保档案记录信息与地块实际状况相符合</w:t>
      </w:r>
      <w:r>
        <w:rPr>
          <w:rFonts w:hint="eastAsia" w:cs="Times New Roman"/>
          <w:lang w:bidi="ar"/>
        </w:rPr>
        <w:t>。</w:t>
      </w:r>
      <w:r>
        <w:rPr>
          <w:rFonts w:cs="Times New Roman"/>
          <w:lang w:bidi="ar"/>
        </w:rPr>
        <w:t>外部单位对档案的提取、查阅</w:t>
      </w:r>
      <w:r>
        <w:rPr>
          <w:rFonts w:hint="eastAsia" w:cs="Times New Roman"/>
          <w:lang w:bidi="ar"/>
        </w:rPr>
        <w:t>、</w:t>
      </w:r>
      <w:r>
        <w:rPr>
          <w:rFonts w:cs="Times New Roman"/>
          <w:lang w:bidi="ar"/>
        </w:rPr>
        <w:t>补充</w:t>
      </w:r>
      <w:r>
        <w:rPr>
          <w:rFonts w:hint="eastAsia" w:cs="Times New Roman"/>
          <w:lang w:bidi="ar"/>
        </w:rPr>
        <w:t>需要经过土地</w:t>
      </w:r>
      <w:r>
        <w:rPr>
          <w:rFonts w:cs="Times New Roman"/>
          <w:lang w:bidi="ar"/>
        </w:rPr>
        <w:t>使用权人、市生态环境局同意后方可进行。此外，对有条件的地块，要求建立电子档案。</w:t>
      </w:r>
    </w:p>
    <w:p>
      <w:pPr>
        <w:pStyle w:val="78"/>
        <w:numPr>
          <w:ilvl w:val="0"/>
          <w:numId w:val="0"/>
        </w:numPr>
        <w:outlineLvl w:val="3"/>
        <w:rPr>
          <w:rFonts w:cs="Times New Roman"/>
          <w:lang w:bidi="ar"/>
        </w:rPr>
      </w:pPr>
      <w:bookmarkStart w:id="169" w:name="_Toc83634754"/>
      <w:bookmarkStart w:id="170" w:name="_Toc83156826"/>
      <w:bookmarkStart w:id="171" w:name="_Toc83565263"/>
      <w:bookmarkStart w:id="172" w:name="_Toc75817465"/>
      <w:bookmarkStart w:id="173" w:name="_Toc69994238"/>
      <w:r>
        <w:rPr>
          <w:rFonts w:cs="Times New Roman"/>
          <w:lang w:bidi="ar"/>
        </w:rPr>
        <w:t>7.3.1.4  配备管控人员</w:t>
      </w:r>
      <w:bookmarkEnd w:id="169"/>
      <w:bookmarkEnd w:id="170"/>
      <w:bookmarkEnd w:id="171"/>
      <w:bookmarkEnd w:id="172"/>
      <w:bookmarkEnd w:id="173"/>
    </w:p>
    <w:p>
      <w:pPr>
        <w:pStyle w:val="56"/>
        <w:ind w:firstLine="640"/>
        <w:rPr>
          <w:rFonts w:cs="Times New Roman"/>
          <w:lang w:bidi="ar"/>
        </w:rPr>
      </w:pPr>
      <w:r>
        <w:rPr>
          <w:rFonts w:cs="Times New Roman"/>
          <w:lang w:bidi="ar"/>
        </w:rPr>
        <w:t>若地块</w:t>
      </w:r>
      <w:r>
        <w:rPr>
          <w:rFonts w:hint="eastAsia" w:cs="Times New Roman"/>
          <w:lang w:bidi="ar"/>
        </w:rPr>
        <w:t>处于</w:t>
      </w:r>
      <w:r>
        <w:rPr>
          <w:rFonts w:cs="Times New Roman"/>
          <w:lang w:bidi="ar"/>
        </w:rPr>
        <w:t>环境敏感区</w:t>
      </w:r>
      <w:r>
        <w:rPr>
          <w:rFonts w:hint="eastAsia" w:cs="Times New Roman"/>
          <w:lang w:bidi="ar"/>
        </w:rPr>
        <w:t>或其他</w:t>
      </w:r>
      <w:r>
        <w:rPr>
          <w:rFonts w:cs="Times New Roman"/>
          <w:lang w:bidi="ar"/>
        </w:rPr>
        <w:t>已开展工程管控</w:t>
      </w:r>
      <w:r>
        <w:rPr>
          <w:rFonts w:hint="eastAsia" w:cs="Times New Roman"/>
          <w:lang w:bidi="ar"/>
        </w:rPr>
        <w:t>的区域，具有</w:t>
      </w:r>
      <w:r>
        <w:rPr>
          <w:rFonts w:cs="Times New Roman"/>
          <w:lang w:bidi="ar"/>
        </w:rPr>
        <w:t>人口密度大、社会关注度高</w:t>
      </w:r>
      <w:r>
        <w:rPr>
          <w:rFonts w:hint="eastAsia" w:cs="Times New Roman"/>
          <w:lang w:bidi="ar"/>
        </w:rPr>
        <w:t>等特点</w:t>
      </w:r>
      <w:r>
        <w:rPr>
          <w:rFonts w:cs="Times New Roman"/>
          <w:lang w:bidi="ar"/>
        </w:rPr>
        <w:t>，</w:t>
      </w:r>
      <w:r>
        <w:rPr>
          <w:rFonts w:hint="eastAsia" w:cs="Times New Roman"/>
          <w:lang w:bidi="ar"/>
        </w:rPr>
        <w:t>则</w:t>
      </w:r>
      <w:r>
        <w:rPr>
          <w:rFonts w:cs="Times New Roman"/>
          <w:lang w:bidi="ar"/>
        </w:rPr>
        <w:t>需配备值守或巡查人员进行日常管理。值守或巡查人员的工作职责主要是定期核查风险管控措施的有效性，确保风险管控设施、设备</w:t>
      </w:r>
      <w:r>
        <w:rPr>
          <w:rFonts w:hint="eastAsia" w:cs="Times New Roman"/>
          <w:lang w:bidi="ar"/>
        </w:rPr>
        <w:t>的</w:t>
      </w:r>
      <w:r>
        <w:rPr>
          <w:rFonts w:cs="Times New Roman"/>
          <w:lang w:bidi="ar"/>
        </w:rPr>
        <w:t>正常</w:t>
      </w:r>
      <w:r>
        <w:rPr>
          <w:rFonts w:hint="eastAsia" w:cs="Times New Roman"/>
          <w:lang w:bidi="ar"/>
        </w:rPr>
        <w:t>运行</w:t>
      </w:r>
      <w:r>
        <w:rPr>
          <w:rFonts w:cs="Times New Roman"/>
          <w:lang w:bidi="ar"/>
        </w:rPr>
        <w:t>；在地块出入口，限制无关人员进入污染地块；对于进入地块的人员、车辆、物品进行</w:t>
      </w:r>
      <w:r>
        <w:rPr>
          <w:rFonts w:hint="eastAsia" w:cs="Times New Roman"/>
          <w:lang w:bidi="ar"/>
        </w:rPr>
        <w:t>实时</w:t>
      </w:r>
      <w:r>
        <w:rPr>
          <w:rFonts w:cs="Times New Roman"/>
          <w:lang w:bidi="ar"/>
        </w:rPr>
        <w:t>记录，确保来访记录完整</w:t>
      </w:r>
      <w:r>
        <w:rPr>
          <w:rFonts w:hint="eastAsia" w:cs="Times New Roman"/>
          <w:lang w:bidi="ar"/>
        </w:rPr>
        <w:t>；</w:t>
      </w:r>
      <w:r>
        <w:rPr>
          <w:rFonts w:cs="Times New Roman"/>
          <w:lang w:bidi="ar"/>
        </w:rPr>
        <w:t>当发现风险管控措施</w:t>
      </w:r>
      <w:r>
        <w:rPr>
          <w:rFonts w:hint="eastAsia" w:cs="Times New Roman"/>
          <w:lang w:bidi="ar"/>
        </w:rPr>
        <w:t>存在</w:t>
      </w:r>
      <w:r>
        <w:rPr>
          <w:rFonts w:cs="Times New Roman"/>
          <w:lang w:bidi="ar"/>
        </w:rPr>
        <w:t>异常时，作</w:t>
      </w:r>
      <w:r>
        <w:rPr>
          <w:rFonts w:hint="eastAsia" w:cs="Times New Roman"/>
          <w:lang w:bidi="ar"/>
        </w:rPr>
        <w:t>出</w:t>
      </w:r>
      <w:r>
        <w:rPr>
          <w:rFonts w:cs="Times New Roman"/>
          <w:lang w:bidi="ar"/>
        </w:rPr>
        <w:t>适当处理，并及时报告上级。若地块不具备派驻值守人员条件，应</w:t>
      </w:r>
      <w:r>
        <w:rPr>
          <w:rFonts w:hint="eastAsia" w:cs="Times New Roman"/>
          <w:lang w:bidi="ar"/>
        </w:rPr>
        <w:t>保证</w:t>
      </w:r>
      <w:r>
        <w:rPr>
          <w:rFonts w:cs="Times New Roman"/>
          <w:lang w:bidi="ar"/>
        </w:rPr>
        <w:t>至少每季度</w:t>
      </w:r>
      <w:r>
        <w:rPr>
          <w:rFonts w:hint="eastAsia" w:cs="Times New Roman"/>
          <w:lang w:bidi="ar"/>
        </w:rPr>
        <w:t>一</w:t>
      </w:r>
      <w:r>
        <w:rPr>
          <w:rFonts w:cs="Times New Roman"/>
          <w:lang w:bidi="ar"/>
        </w:rPr>
        <w:t>次的巡查频率。</w:t>
      </w:r>
    </w:p>
    <w:p>
      <w:pPr>
        <w:pStyle w:val="78"/>
        <w:numPr>
          <w:ilvl w:val="0"/>
          <w:numId w:val="0"/>
        </w:numPr>
        <w:outlineLvl w:val="3"/>
        <w:rPr>
          <w:rFonts w:cs="Times New Roman"/>
          <w:lang w:bidi="ar"/>
        </w:rPr>
      </w:pPr>
      <w:bookmarkStart w:id="174" w:name="_Toc69994239"/>
      <w:bookmarkStart w:id="175" w:name="_Toc83634755"/>
      <w:bookmarkStart w:id="176" w:name="_Toc83565264"/>
      <w:bookmarkStart w:id="177" w:name="_Toc75817466"/>
      <w:bookmarkStart w:id="178" w:name="_Toc83156827"/>
      <w:r>
        <w:rPr>
          <w:rFonts w:cs="Times New Roman"/>
          <w:lang w:bidi="ar"/>
        </w:rPr>
        <w:t>7.3.1.5  隔离重点区域</w:t>
      </w:r>
      <w:bookmarkEnd w:id="174"/>
      <w:bookmarkEnd w:id="175"/>
      <w:bookmarkEnd w:id="176"/>
      <w:bookmarkEnd w:id="177"/>
      <w:bookmarkEnd w:id="178"/>
    </w:p>
    <w:p>
      <w:pPr>
        <w:pStyle w:val="56"/>
        <w:ind w:firstLine="640"/>
        <w:rPr>
          <w:rFonts w:cs="Times New Roman"/>
          <w:lang w:bidi="ar"/>
        </w:rPr>
      </w:pPr>
      <w:r>
        <w:rPr>
          <w:rFonts w:cs="Times New Roman"/>
          <w:lang w:bidi="ar"/>
        </w:rPr>
        <w:t>若地块内存在人员</w:t>
      </w:r>
      <w:r>
        <w:rPr>
          <w:rFonts w:hint="eastAsia" w:cs="Times New Roman"/>
          <w:lang w:bidi="ar"/>
        </w:rPr>
        <w:t>安全和</w:t>
      </w:r>
      <w:r>
        <w:rPr>
          <w:rFonts w:cs="Times New Roman"/>
          <w:lang w:bidi="ar"/>
        </w:rPr>
        <w:t>环境安全隐患的区域，应根据目标位置设立隔离警示带或隔离墩。隔离警示带或隔离墩</w:t>
      </w:r>
      <w:r>
        <w:rPr>
          <w:rFonts w:hint="eastAsia" w:cs="Times New Roman"/>
          <w:lang w:bidi="ar"/>
        </w:rPr>
        <w:t>的</w:t>
      </w:r>
      <w:r>
        <w:rPr>
          <w:rFonts w:cs="Times New Roman"/>
          <w:lang w:bidi="ar"/>
        </w:rPr>
        <w:t>颜色可由黄黑、红黄、红白相间组成。隔离警示带宽度可根据现场需要确定，但不低于50毫米，可采用张拉、拴系、粘贴等固定方式。隔离墩应设置在地块内通往安全隐患区域的道路中央，</w:t>
      </w:r>
      <w:r>
        <w:rPr>
          <w:rFonts w:hint="eastAsia" w:cs="Times New Roman"/>
          <w:lang w:bidi="ar"/>
        </w:rPr>
        <w:t>详细</w:t>
      </w:r>
      <w:r>
        <w:rPr>
          <w:rFonts w:cs="Times New Roman"/>
          <w:lang w:bidi="ar"/>
        </w:rPr>
        <w:t>参数要求应满足《聚乙烯隔离墩通用技术条件》（GB/T 34847）以及水泥隔离墩等相关规定。</w:t>
      </w:r>
    </w:p>
    <w:p>
      <w:pPr>
        <w:pStyle w:val="78"/>
        <w:numPr>
          <w:ilvl w:val="0"/>
          <w:numId w:val="0"/>
        </w:numPr>
        <w:outlineLvl w:val="3"/>
        <w:rPr>
          <w:rFonts w:cs="Times New Roman"/>
          <w:lang w:bidi="ar"/>
        </w:rPr>
      </w:pPr>
      <w:bookmarkStart w:id="179" w:name="_Toc83156828"/>
      <w:bookmarkStart w:id="180" w:name="_Toc69994240"/>
      <w:bookmarkStart w:id="181" w:name="_Toc75817467"/>
      <w:bookmarkStart w:id="182" w:name="_Toc83565265"/>
      <w:bookmarkStart w:id="183" w:name="_Toc83634756"/>
      <w:r>
        <w:rPr>
          <w:rFonts w:cs="Times New Roman"/>
          <w:lang w:bidi="ar"/>
        </w:rPr>
        <w:t>7.3.1.6  信息监控与识别</w:t>
      </w:r>
      <w:bookmarkEnd w:id="179"/>
      <w:bookmarkEnd w:id="180"/>
      <w:bookmarkEnd w:id="181"/>
      <w:bookmarkEnd w:id="182"/>
      <w:bookmarkEnd w:id="183"/>
    </w:p>
    <w:p>
      <w:pPr>
        <w:pStyle w:val="56"/>
        <w:ind w:firstLine="640"/>
        <w:rPr>
          <w:rFonts w:cs="Times New Roman"/>
          <w:lang w:bidi="ar"/>
        </w:rPr>
      </w:pPr>
      <w:bookmarkStart w:id="184" w:name="_Hlk81578984"/>
      <w:r>
        <w:rPr>
          <w:rFonts w:hint="eastAsia" w:cs="Times New Roman"/>
          <w:lang w:bidi="ar"/>
        </w:rPr>
        <w:t>对于</w:t>
      </w:r>
      <w:r>
        <w:rPr>
          <w:rFonts w:cs="Times New Roman"/>
          <w:lang w:bidi="ar"/>
        </w:rPr>
        <w:t>有条件的地块，可以</w:t>
      </w:r>
      <w:r>
        <w:rPr>
          <w:rFonts w:hint="eastAsia" w:cs="Times New Roman"/>
          <w:lang w:bidi="ar"/>
        </w:rPr>
        <w:t>使用</w:t>
      </w:r>
      <w:r>
        <w:rPr>
          <w:rFonts w:cs="Times New Roman"/>
          <w:lang w:bidi="ar"/>
        </w:rPr>
        <w:t>视频探头、扬声器、无人机等</w:t>
      </w:r>
      <w:r>
        <w:rPr>
          <w:rFonts w:hint="eastAsia" w:cs="Times New Roman"/>
          <w:lang w:bidi="ar"/>
        </w:rPr>
        <w:t>电子设备对</w:t>
      </w:r>
      <w:r>
        <w:rPr>
          <w:rFonts w:cs="Times New Roman"/>
          <w:lang w:bidi="ar"/>
        </w:rPr>
        <w:t>地块</w:t>
      </w:r>
      <w:r>
        <w:rPr>
          <w:rFonts w:hint="eastAsia" w:cs="Times New Roman"/>
          <w:lang w:bidi="ar"/>
        </w:rPr>
        <w:t>进行</w:t>
      </w:r>
      <w:r>
        <w:rPr>
          <w:rFonts w:cs="Times New Roman"/>
          <w:lang w:bidi="ar"/>
        </w:rPr>
        <w:t>影像监控和事件报警，影像资料</w:t>
      </w:r>
      <w:r>
        <w:rPr>
          <w:rFonts w:hint="eastAsia" w:cs="Times New Roman"/>
          <w:lang w:bidi="ar"/>
        </w:rPr>
        <w:t>应</w:t>
      </w:r>
      <w:r>
        <w:rPr>
          <w:rFonts w:cs="Times New Roman"/>
          <w:lang w:bidi="ar"/>
        </w:rPr>
        <w:t>长期保存</w:t>
      </w:r>
      <w:r>
        <w:rPr>
          <w:rFonts w:hint="eastAsia" w:cs="Times New Roman"/>
          <w:lang w:bidi="ar"/>
        </w:rPr>
        <w:t>。同时也</w:t>
      </w:r>
      <w:r>
        <w:rPr>
          <w:rFonts w:cs="Times New Roman"/>
          <w:lang w:bidi="ar"/>
        </w:rPr>
        <w:t>可以设置电子门禁、信息识别等装置，自动</w:t>
      </w:r>
      <w:r>
        <w:rPr>
          <w:rFonts w:hint="eastAsia" w:cs="Times New Roman"/>
          <w:lang w:bidi="ar"/>
        </w:rPr>
        <w:t>判别</w:t>
      </w:r>
      <w:r>
        <w:rPr>
          <w:rFonts w:cs="Times New Roman"/>
          <w:lang w:bidi="ar"/>
        </w:rPr>
        <w:t>进出地块</w:t>
      </w:r>
      <w:r>
        <w:rPr>
          <w:rFonts w:hint="eastAsia" w:cs="Times New Roman"/>
          <w:lang w:bidi="ar"/>
        </w:rPr>
        <w:t>的</w:t>
      </w:r>
      <w:r>
        <w:rPr>
          <w:rFonts w:cs="Times New Roman"/>
          <w:lang w:bidi="ar"/>
        </w:rPr>
        <w:t>人员</w:t>
      </w:r>
      <w:r>
        <w:rPr>
          <w:rFonts w:hint="eastAsia" w:cs="Times New Roman"/>
          <w:lang w:bidi="ar"/>
        </w:rPr>
        <w:t>和</w:t>
      </w:r>
      <w:r>
        <w:rPr>
          <w:rFonts w:cs="Times New Roman"/>
          <w:lang w:bidi="ar"/>
        </w:rPr>
        <w:t>车辆信息</w:t>
      </w:r>
      <w:bookmarkEnd w:id="184"/>
      <w:r>
        <w:rPr>
          <w:rFonts w:cs="Times New Roman"/>
          <w:lang w:bidi="ar"/>
        </w:rPr>
        <w:t>。</w:t>
      </w:r>
    </w:p>
    <w:p>
      <w:pPr>
        <w:pStyle w:val="78"/>
        <w:numPr>
          <w:ilvl w:val="0"/>
          <w:numId w:val="0"/>
        </w:numPr>
        <w:outlineLvl w:val="3"/>
        <w:rPr>
          <w:rFonts w:cs="Times New Roman"/>
          <w:lang w:bidi="ar"/>
        </w:rPr>
      </w:pPr>
      <w:bookmarkStart w:id="185" w:name="_Toc69994241"/>
      <w:bookmarkStart w:id="186" w:name="_Toc75817468"/>
      <w:bookmarkStart w:id="187" w:name="_Toc83156829"/>
      <w:bookmarkStart w:id="188" w:name="_Toc83565266"/>
      <w:bookmarkStart w:id="189" w:name="_Toc83634757"/>
      <w:r>
        <w:rPr>
          <w:rFonts w:cs="Times New Roman"/>
          <w:lang w:bidi="ar"/>
        </w:rPr>
        <w:t>7.3.1.7  土工膜表层覆盖</w:t>
      </w:r>
      <w:bookmarkEnd w:id="185"/>
      <w:bookmarkEnd w:id="186"/>
      <w:bookmarkEnd w:id="187"/>
      <w:bookmarkEnd w:id="188"/>
      <w:bookmarkEnd w:id="189"/>
    </w:p>
    <w:p>
      <w:pPr>
        <w:pStyle w:val="56"/>
        <w:ind w:firstLine="640"/>
        <w:rPr>
          <w:rFonts w:cs="Times New Roman"/>
          <w:lang w:bidi="ar"/>
        </w:rPr>
      </w:pPr>
      <w:bookmarkStart w:id="190" w:name="_Hlk81579420"/>
      <w:r>
        <w:rPr>
          <w:rFonts w:hint="eastAsia" w:cs="Times New Roman"/>
          <w:lang w:bidi="ar"/>
        </w:rPr>
        <w:t>若地块中的污染物在</w:t>
      </w:r>
      <w:r>
        <w:rPr>
          <w:rFonts w:cs="Times New Roman"/>
          <w:lang w:bidi="ar"/>
        </w:rPr>
        <w:t>空气中存在异味</w:t>
      </w:r>
      <w:r>
        <w:rPr>
          <w:rFonts w:hint="eastAsia" w:cs="Times New Roman"/>
          <w:lang w:bidi="ar"/>
        </w:rPr>
        <w:t>且较易挥发时，</w:t>
      </w:r>
      <w:r>
        <w:rPr>
          <w:rFonts w:cs="Times New Roman"/>
          <w:lang w:bidi="ar"/>
        </w:rPr>
        <w:t>应采用聚乙烯土工膜材料</w:t>
      </w:r>
      <w:r>
        <w:rPr>
          <w:rFonts w:hint="eastAsia" w:cs="Times New Roman"/>
          <w:lang w:bidi="ar"/>
        </w:rPr>
        <w:t>对</w:t>
      </w:r>
      <w:r>
        <w:rPr>
          <w:rFonts w:cs="Times New Roman"/>
          <w:lang w:bidi="ar"/>
        </w:rPr>
        <w:t>地块</w:t>
      </w:r>
      <w:r>
        <w:rPr>
          <w:rFonts w:hint="eastAsia" w:cs="Times New Roman"/>
          <w:lang w:bidi="ar"/>
        </w:rPr>
        <w:t>的</w:t>
      </w:r>
      <w:r>
        <w:rPr>
          <w:rFonts w:cs="Times New Roman"/>
          <w:lang w:bidi="ar"/>
        </w:rPr>
        <w:t>污染区域</w:t>
      </w:r>
      <w:r>
        <w:rPr>
          <w:rFonts w:hint="eastAsia" w:cs="Times New Roman"/>
          <w:lang w:bidi="ar"/>
        </w:rPr>
        <w:t>进行</w:t>
      </w:r>
      <w:r>
        <w:rPr>
          <w:rFonts w:cs="Times New Roman"/>
          <w:lang w:bidi="ar"/>
        </w:rPr>
        <w:t>表层覆盖，</w:t>
      </w:r>
      <w:r>
        <w:rPr>
          <w:rFonts w:hint="eastAsia" w:cs="Times New Roman"/>
          <w:lang w:bidi="ar"/>
        </w:rPr>
        <w:t>以</w:t>
      </w:r>
      <w:r>
        <w:rPr>
          <w:rFonts w:cs="Times New Roman"/>
          <w:lang w:bidi="ar"/>
        </w:rPr>
        <w:t>减少地块污染物的挥发或阻止有毒有害颗粒物进入大气中。土工膜应符合《土工合成材料 非织造布复合土工膜》（GB/T 17642）、《土工合成材料 聚乙烯土工膜》（GB/T 17643）的相关规定，</w:t>
      </w:r>
      <w:r>
        <w:rPr>
          <w:rFonts w:hint="eastAsia" w:cs="Times New Roman"/>
          <w:lang w:bidi="ar"/>
        </w:rPr>
        <w:t>其</w:t>
      </w:r>
      <w:r>
        <w:rPr>
          <w:rFonts w:cs="Times New Roman"/>
          <w:lang w:bidi="ar"/>
        </w:rPr>
        <w:t>厚度、拉伸强度应达到国家标准的最低要求。覆盖</w:t>
      </w:r>
      <w:r>
        <w:rPr>
          <w:rFonts w:hint="eastAsia" w:cs="Times New Roman"/>
          <w:lang w:bidi="ar"/>
        </w:rPr>
        <w:t>过程</w:t>
      </w:r>
      <w:r>
        <w:rPr>
          <w:rFonts w:cs="Times New Roman"/>
          <w:lang w:bidi="ar"/>
        </w:rPr>
        <w:t>应参照《聚乙烯（PE）土工膜防渗工程技术规范》（SL/T 231）、《土工合成材料应用技术规范》（GB 50290）</w:t>
      </w:r>
      <w:r>
        <w:rPr>
          <w:rFonts w:hint="eastAsia" w:cs="Times New Roman"/>
          <w:lang w:bidi="ar"/>
        </w:rPr>
        <w:t>的相关规定</w:t>
      </w:r>
      <w:r>
        <w:rPr>
          <w:rFonts w:cs="Times New Roman"/>
          <w:lang w:bidi="ar"/>
        </w:rPr>
        <w:t>执行。对于易挥发、危害指数大的地块可配套建设气体收集系统</w:t>
      </w:r>
      <w:bookmarkEnd w:id="190"/>
      <w:r>
        <w:rPr>
          <w:rFonts w:cs="Times New Roman"/>
          <w:lang w:bidi="ar"/>
        </w:rPr>
        <w:t>。</w:t>
      </w:r>
    </w:p>
    <w:p>
      <w:pPr>
        <w:pStyle w:val="78"/>
        <w:numPr>
          <w:ilvl w:val="0"/>
          <w:numId w:val="0"/>
        </w:numPr>
        <w:outlineLvl w:val="3"/>
        <w:rPr>
          <w:rFonts w:cs="Times New Roman"/>
          <w:lang w:bidi="ar"/>
        </w:rPr>
      </w:pPr>
      <w:bookmarkStart w:id="191" w:name="_Toc83565267"/>
      <w:bookmarkStart w:id="192" w:name="_Toc83634758"/>
      <w:bookmarkStart w:id="193" w:name="_Toc83156830"/>
      <w:bookmarkStart w:id="194" w:name="_Toc75817469"/>
      <w:r>
        <w:rPr>
          <w:rFonts w:cs="Times New Roman"/>
          <w:lang w:bidi="ar"/>
        </w:rPr>
        <w:t>7.3.1.8  植被覆盖</w:t>
      </w:r>
      <w:bookmarkEnd w:id="191"/>
      <w:bookmarkEnd w:id="192"/>
      <w:bookmarkEnd w:id="193"/>
      <w:bookmarkEnd w:id="194"/>
    </w:p>
    <w:p>
      <w:pPr>
        <w:pStyle w:val="56"/>
        <w:ind w:firstLine="640"/>
        <w:rPr>
          <w:rFonts w:cs="Times New Roman"/>
          <w:lang w:bidi="ar"/>
        </w:rPr>
      </w:pPr>
      <w:r>
        <w:rPr>
          <w:rFonts w:cs="Times New Roman"/>
          <w:lang w:bidi="ar"/>
        </w:rPr>
        <w:t>若地块的表层土壤受到污染，且污染物存在随降雨发生地表径流迁移的风险，应根据地块</w:t>
      </w:r>
      <w:r>
        <w:rPr>
          <w:rFonts w:hint="eastAsia" w:cs="Times New Roman"/>
          <w:lang w:bidi="ar"/>
        </w:rPr>
        <w:t>的</w:t>
      </w:r>
      <w:r>
        <w:rPr>
          <w:rFonts w:cs="Times New Roman"/>
          <w:lang w:bidi="ar"/>
        </w:rPr>
        <w:t>污染特征，采用植被覆盖的方式阻断污染物</w:t>
      </w:r>
      <w:r>
        <w:rPr>
          <w:rFonts w:hint="eastAsia" w:cs="Times New Roman"/>
          <w:lang w:bidi="ar"/>
        </w:rPr>
        <w:t>的</w:t>
      </w:r>
      <w:r>
        <w:rPr>
          <w:rFonts w:cs="Times New Roman"/>
          <w:lang w:bidi="ar"/>
        </w:rPr>
        <w:t>迁移，预防水土流失。植被</w:t>
      </w:r>
      <w:r>
        <w:rPr>
          <w:rFonts w:hint="eastAsia" w:cs="Times New Roman"/>
          <w:lang w:bidi="ar"/>
        </w:rPr>
        <w:t>覆盖</w:t>
      </w:r>
      <w:r>
        <w:rPr>
          <w:rFonts w:cs="Times New Roman"/>
          <w:lang w:bidi="ar"/>
        </w:rPr>
        <w:t>过程</w:t>
      </w:r>
      <w:r>
        <w:rPr>
          <w:rFonts w:hint="eastAsia" w:cs="Times New Roman"/>
          <w:lang w:bidi="ar"/>
        </w:rPr>
        <w:t>中</w:t>
      </w:r>
      <w:r>
        <w:rPr>
          <w:rFonts w:cs="Times New Roman"/>
          <w:lang w:bidi="ar"/>
        </w:rPr>
        <w:t>应</w:t>
      </w:r>
      <w:r>
        <w:rPr>
          <w:rFonts w:hint="eastAsia" w:cs="Times New Roman"/>
          <w:lang w:bidi="ar"/>
        </w:rPr>
        <w:t>充分</w:t>
      </w:r>
      <w:r>
        <w:rPr>
          <w:rFonts w:cs="Times New Roman"/>
          <w:lang w:bidi="ar"/>
        </w:rPr>
        <w:t>考虑覆盖区域</w:t>
      </w:r>
      <w:r>
        <w:rPr>
          <w:rFonts w:hint="eastAsia" w:cs="Times New Roman"/>
          <w:lang w:bidi="ar"/>
        </w:rPr>
        <w:t>的</w:t>
      </w:r>
      <w:r>
        <w:rPr>
          <w:rFonts w:cs="Times New Roman"/>
          <w:lang w:bidi="ar"/>
        </w:rPr>
        <w:t>径流排放坡度、地块</w:t>
      </w:r>
      <w:r>
        <w:rPr>
          <w:rFonts w:hint="eastAsia" w:cs="Times New Roman"/>
          <w:lang w:bidi="ar"/>
        </w:rPr>
        <w:t>中的污染土壤能否</w:t>
      </w:r>
      <w:r>
        <w:rPr>
          <w:rFonts w:cs="Times New Roman"/>
          <w:lang w:bidi="ar"/>
        </w:rPr>
        <w:t>支持植被生长、植被种植类型</w:t>
      </w:r>
      <w:r>
        <w:rPr>
          <w:rFonts w:hint="eastAsia" w:cs="Times New Roman"/>
          <w:lang w:bidi="ar"/>
        </w:rPr>
        <w:t>和</w:t>
      </w:r>
      <w:r>
        <w:rPr>
          <w:rFonts w:cs="Times New Roman"/>
          <w:lang w:bidi="ar"/>
        </w:rPr>
        <w:t>密度等因素。</w:t>
      </w:r>
    </w:p>
    <w:p>
      <w:pPr>
        <w:pStyle w:val="78"/>
        <w:numPr>
          <w:ilvl w:val="0"/>
          <w:numId w:val="0"/>
        </w:numPr>
        <w:outlineLvl w:val="3"/>
        <w:rPr>
          <w:rFonts w:cs="Times New Roman"/>
          <w:lang w:bidi="ar"/>
        </w:rPr>
      </w:pPr>
      <w:bookmarkStart w:id="195" w:name="_Toc83634759"/>
      <w:bookmarkStart w:id="196" w:name="_Toc69994242"/>
      <w:bookmarkStart w:id="197" w:name="_Toc83156831"/>
      <w:bookmarkStart w:id="198" w:name="_Toc83565268"/>
      <w:bookmarkStart w:id="199" w:name="_Toc75817470"/>
      <w:r>
        <w:rPr>
          <w:rFonts w:cs="Times New Roman"/>
          <w:lang w:bidi="ar"/>
        </w:rPr>
        <w:t>7.3.1.9  防尘网铺设</w:t>
      </w:r>
      <w:bookmarkEnd w:id="195"/>
      <w:bookmarkEnd w:id="196"/>
      <w:bookmarkEnd w:id="197"/>
      <w:bookmarkEnd w:id="198"/>
      <w:bookmarkEnd w:id="199"/>
    </w:p>
    <w:p>
      <w:pPr>
        <w:pStyle w:val="56"/>
        <w:ind w:firstLine="640"/>
        <w:rPr>
          <w:rFonts w:cs="Times New Roman"/>
          <w:lang w:bidi="ar"/>
        </w:rPr>
      </w:pPr>
      <w:r>
        <w:rPr>
          <w:rFonts w:cs="Times New Roman"/>
          <w:lang w:bidi="ar"/>
        </w:rPr>
        <w:t>若地块</w:t>
      </w:r>
      <w:r>
        <w:rPr>
          <w:rFonts w:hint="eastAsia" w:cs="Times New Roman"/>
          <w:lang w:bidi="ar"/>
        </w:rPr>
        <w:t>内</w:t>
      </w:r>
      <w:r>
        <w:rPr>
          <w:rFonts w:cs="Times New Roman"/>
          <w:lang w:bidi="ar"/>
        </w:rPr>
        <w:t>存在裸露的地表，应</w:t>
      </w:r>
      <w:r>
        <w:rPr>
          <w:rFonts w:hint="eastAsia" w:cs="Times New Roman"/>
          <w:lang w:bidi="ar"/>
        </w:rPr>
        <w:t>及时</w:t>
      </w:r>
      <w:r>
        <w:rPr>
          <w:rFonts w:cs="Times New Roman"/>
          <w:lang w:bidi="ar"/>
        </w:rPr>
        <w:t>铺设防尘网，根据</w:t>
      </w:r>
      <w:r>
        <w:rPr>
          <w:rFonts w:hint="eastAsia" w:cs="Times New Roman"/>
          <w:lang w:bidi="ar"/>
        </w:rPr>
        <w:t>现场</w:t>
      </w:r>
      <w:r>
        <w:rPr>
          <w:rFonts w:cs="Times New Roman"/>
          <w:lang w:bidi="ar"/>
        </w:rPr>
        <w:t>情况</w:t>
      </w:r>
      <w:r>
        <w:rPr>
          <w:rFonts w:hint="eastAsia" w:cs="Times New Roman"/>
          <w:lang w:bidi="ar"/>
        </w:rPr>
        <w:t>进行</w:t>
      </w:r>
      <w:r>
        <w:rPr>
          <w:rFonts w:cs="Times New Roman"/>
          <w:lang w:bidi="ar"/>
        </w:rPr>
        <w:t>多层覆盖。防尘网</w:t>
      </w:r>
      <w:r>
        <w:rPr>
          <w:rFonts w:hint="eastAsia" w:cs="Times New Roman"/>
          <w:lang w:bidi="ar"/>
        </w:rPr>
        <w:t>为</w:t>
      </w:r>
      <w:r>
        <w:rPr>
          <w:rFonts w:cs="Times New Roman"/>
          <w:lang w:bidi="ar"/>
        </w:rPr>
        <w:t>聚乙烯</w:t>
      </w:r>
      <w:r>
        <w:rPr>
          <w:rFonts w:hint="eastAsia" w:cs="Times New Roman"/>
          <w:lang w:bidi="ar"/>
        </w:rPr>
        <w:t>材质，</w:t>
      </w:r>
      <w:r>
        <w:rPr>
          <w:rFonts w:cs="Times New Roman"/>
          <w:lang w:bidi="ar"/>
        </w:rPr>
        <w:t>型号</w:t>
      </w:r>
      <w:r>
        <w:rPr>
          <w:rFonts w:hint="eastAsia" w:cs="Times New Roman"/>
          <w:lang w:bidi="ar"/>
        </w:rPr>
        <w:t>为</w:t>
      </w:r>
      <w:r>
        <w:rPr>
          <w:rFonts w:cs="Times New Roman"/>
          <w:lang w:bidi="ar"/>
        </w:rPr>
        <w:t>6针以上</w:t>
      </w:r>
      <w:r>
        <w:rPr>
          <w:rFonts w:hint="eastAsia" w:cs="Times New Roman"/>
          <w:lang w:bidi="ar"/>
        </w:rPr>
        <w:t>，</w:t>
      </w:r>
      <w:r>
        <w:rPr>
          <w:rFonts w:cs="Times New Roman"/>
          <w:lang w:bidi="ar"/>
        </w:rPr>
        <w:t>规格</w:t>
      </w:r>
      <w:r>
        <w:rPr>
          <w:rFonts w:hint="eastAsia" w:cs="Times New Roman"/>
          <w:lang w:bidi="ar"/>
        </w:rPr>
        <w:t>为</w:t>
      </w:r>
      <w:r>
        <w:rPr>
          <w:rFonts w:cs="Times New Roman"/>
          <w:lang w:bidi="ar"/>
        </w:rPr>
        <w:t>40米×8米或50米×8米。防尘网铺设要平整，采用丁缝或包缝法连接，并适当留有变形余地，缝合或搭接宽度一般为0.2米以上。所有防尘网坡面须用沙袋掩压</w:t>
      </w:r>
      <w:r>
        <w:rPr>
          <w:rFonts w:hint="eastAsia" w:cs="Times New Roman"/>
          <w:lang w:bidi="ar"/>
        </w:rPr>
        <w:t>，</w:t>
      </w:r>
      <w:r>
        <w:rPr>
          <w:rFonts w:cs="Times New Roman"/>
          <w:lang w:bidi="ar"/>
        </w:rPr>
        <w:t>平面、坡顶或坡脚采用粒径大于200毫米的块石掩压，块石间距不大于5米。</w:t>
      </w:r>
    </w:p>
    <w:p>
      <w:pPr>
        <w:pStyle w:val="69"/>
        <w:numPr>
          <w:ilvl w:val="0"/>
          <w:numId w:val="0"/>
        </w:numPr>
        <w:outlineLvl w:val="2"/>
        <w:rPr>
          <w:lang w:bidi="ar"/>
        </w:rPr>
      </w:pPr>
      <w:bookmarkStart w:id="200" w:name="_Toc69994099"/>
      <w:bookmarkEnd w:id="200"/>
      <w:bookmarkStart w:id="201" w:name="_Toc69994244"/>
      <w:bookmarkEnd w:id="201"/>
      <w:bookmarkStart w:id="202" w:name="_Toc69994098"/>
      <w:bookmarkEnd w:id="202"/>
      <w:bookmarkStart w:id="203" w:name="_Toc69994243"/>
      <w:bookmarkEnd w:id="203"/>
      <w:bookmarkStart w:id="204" w:name="_Toc75817471"/>
      <w:bookmarkStart w:id="205" w:name="_Toc77932793"/>
      <w:bookmarkStart w:id="206" w:name="_Toc83634760"/>
      <w:bookmarkStart w:id="207" w:name="_Toc83156832"/>
      <w:bookmarkStart w:id="208" w:name="_Toc83565269"/>
      <w:r>
        <w:rPr>
          <w:lang w:bidi="ar"/>
        </w:rPr>
        <w:t>7.3.2  工程</w:t>
      </w:r>
      <w:bookmarkEnd w:id="204"/>
      <w:r>
        <w:rPr>
          <w:lang w:bidi="ar"/>
        </w:rPr>
        <w:t>管控</w:t>
      </w:r>
      <w:bookmarkEnd w:id="205"/>
      <w:bookmarkEnd w:id="206"/>
      <w:bookmarkEnd w:id="207"/>
      <w:bookmarkEnd w:id="208"/>
    </w:p>
    <w:p>
      <w:pPr>
        <w:pStyle w:val="56"/>
        <w:ind w:firstLine="640"/>
        <w:rPr>
          <w:rFonts w:cs="Times New Roman"/>
          <w:lang w:bidi="ar"/>
        </w:rPr>
      </w:pPr>
      <w:r>
        <w:rPr>
          <w:rFonts w:hint="eastAsia" w:cs="Times New Roman"/>
          <w:lang w:bidi="ar"/>
        </w:rPr>
        <w:t>根据暂不开发利用地块的实际</w:t>
      </w:r>
      <w:r>
        <w:rPr>
          <w:rFonts w:cs="Times New Roman"/>
          <w:lang w:bidi="ar"/>
        </w:rPr>
        <w:t>特征和关注度分级，综合考虑管控目标，明确</w:t>
      </w:r>
      <w:r>
        <w:rPr>
          <w:rFonts w:hint="eastAsia" w:cs="Times New Roman"/>
          <w:lang w:bidi="ar"/>
        </w:rPr>
        <w:t>地块</w:t>
      </w:r>
      <w:r>
        <w:rPr>
          <w:rFonts w:cs="Times New Roman"/>
          <w:lang w:bidi="ar"/>
        </w:rPr>
        <w:t>是否需要采取工程管控措施</w:t>
      </w:r>
      <w:r>
        <w:rPr>
          <w:rFonts w:hint="eastAsia" w:cs="Times New Roman"/>
          <w:lang w:bidi="ar"/>
        </w:rPr>
        <w:t>，以防止污染物的扩散迁移</w:t>
      </w:r>
      <w:r>
        <w:rPr>
          <w:rFonts w:cs="Times New Roman"/>
          <w:lang w:bidi="ar"/>
        </w:rPr>
        <w:t>。工程管控</w:t>
      </w:r>
      <w:r>
        <w:rPr>
          <w:rFonts w:hint="eastAsia" w:cs="Times New Roman"/>
          <w:lang w:bidi="ar"/>
        </w:rPr>
        <w:t>措施</w:t>
      </w:r>
      <w:r>
        <w:rPr>
          <w:rFonts w:cs="Times New Roman"/>
          <w:lang w:bidi="ar"/>
        </w:rPr>
        <w:t>一般为阻隔工程，</w:t>
      </w:r>
      <w:r>
        <w:rPr>
          <w:rFonts w:hint="eastAsia" w:cs="Times New Roman"/>
          <w:lang w:bidi="ar"/>
        </w:rPr>
        <w:t>工程</w:t>
      </w:r>
      <w:r>
        <w:rPr>
          <w:rFonts w:cs="Times New Roman"/>
          <w:lang w:bidi="ar"/>
        </w:rPr>
        <w:t>施工过程中</w:t>
      </w:r>
      <w:r>
        <w:rPr>
          <w:rFonts w:hint="eastAsia" w:cs="Times New Roman"/>
          <w:lang w:bidi="ar"/>
        </w:rPr>
        <w:t>需</w:t>
      </w:r>
      <w:r>
        <w:rPr>
          <w:rFonts w:cs="Times New Roman"/>
          <w:lang w:bidi="ar"/>
        </w:rPr>
        <w:t>要预防二次污染的发生。土地使用权人可根据地块</w:t>
      </w:r>
      <w:r>
        <w:rPr>
          <w:rFonts w:hint="eastAsia" w:cs="Times New Roman"/>
          <w:lang w:bidi="ar"/>
        </w:rPr>
        <w:t>的实际</w:t>
      </w:r>
      <w:r>
        <w:rPr>
          <w:rFonts w:cs="Times New Roman"/>
          <w:lang w:bidi="ar"/>
        </w:rPr>
        <w:t>情况在管控方案中选用合适的工程管控措施。</w:t>
      </w:r>
    </w:p>
    <w:p>
      <w:pPr>
        <w:pStyle w:val="78"/>
        <w:numPr>
          <w:ilvl w:val="0"/>
          <w:numId w:val="0"/>
        </w:numPr>
        <w:outlineLvl w:val="3"/>
        <w:rPr>
          <w:rFonts w:cs="Times New Roman"/>
          <w:lang w:bidi="ar"/>
        </w:rPr>
      </w:pPr>
      <w:bookmarkStart w:id="209" w:name="_Toc83634761"/>
      <w:bookmarkStart w:id="210" w:name="_Toc83565270"/>
      <w:bookmarkStart w:id="211" w:name="_Toc83156833"/>
      <w:bookmarkStart w:id="212" w:name="_Toc75817472"/>
      <w:bookmarkStart w:id="213" w:name="_Toc69994247"/>
      <w:r>
        <w:rPr>
          <w:rFonts w:cs="Times New Roman"/>
          <w:lang w:bidi="ar"/>
        </w:rPr>
        <w:t>7.3.2.1  阻隔工程</w:t>
      </w:r>
      <w:bookmarkEnd w:id="209"/>
      <w:bookmarkEnd w:id="210"/>
      <w:bookmarkEnd w:id="211"/>
      <w:bookmarkEnd w:id="212"/>
      <w:bookmarkEnd w:id="213"/>
    </w:p>
    <w:p>
      <w:pPr>
        <w:pStyle w:val="56"/>
        <w:ind w:firstLine="640"/>
        <w:rPr>
          <w:rFonts w:cs="Times New Roman"/>
          <w:lang w:bidi="ar"/>
        </w:rPr>
      </w:pPr>
      <w:r>
        <w:rPr>
          <w:rFonts w:hint="eastAsia" w:cs="Times New Roman"/>
          <w:lang w:bidi="ar"/>
        </w:rPr>
        <w:t>①</w:t>
      </w:r>
      <w:r>
        <w:rPr>
          <w:rFonts w:cs="Times New Roman"/>
          <w:lang w:bidi="ar"/>
        </w:rPr>
        <w:t>适用条件</w:t>
      </w:r>
    </w:p>
    <w:p>
      <w:pPr>
        <w:pStyle w:val="56"/>
        <w:ind w:firstLine="640"/>
        <w:rPr>
          <w:rFonts w:cs="Times New Roman"/>
          <w:lang w:bidi="ar"/>
        </w:rPr>
      </w:pPr>
      <w:r>
        <w:rPr>
          <w:rFonts w:hint="eastAsia" w:cs="Times New Roman"/>
          <w:lang w:bidi="ar"/>
        </w:rPr>
        <w:t>阻断</w:t>
      </w:r>
      <w:r>
        <w:rPr>
          <w:rFonts w:cs="Times New Roman"/>
          <w:lang w:bidi="ar"/>
        </w:rPr>
        <w:t>直接接触</w:t>
      </w:r>
      <w:r>
        <w:rPr>
          <w:rFonts w:hint="eastAsia" w:cs="Times New Roman"/>
          <w:lang w:bidi="ar"/>
        </w:rPr>
        <w:t>地块</w:t>
      </w:r>
      <w:r>
        <w:rPr>
          <w:rFonts w:cs="Times New Roman"/>
          <w:lang w:bidi="ar"/>
        </w:rPr>
        <w:t>表层受污染土壤的技术包括：沥青路面、混凝土路面、柔性膜衬垫、清洁土壤覆盖和石子覆盖等</w:t>
      </w:r>
      <w:r>
        <w:rPr>
          <w:rFonts w:hint="eastAsia" w:cs="Times New Roman"/>
          <w:lang w:bidi="ar"/>
        </w:rPr>
        <w:t>。</w:t>
      </w:r>
    </w:p>
    <w:p>
      <w:pPr>
        <w:pStyle w:val="56"/>
        <w:ind w:firstLine="640"/>
        <w:rPr>
          <w:rFonts w:cs="Times New Roman"/>
          <w:lang w:bidi="ar"/>
        </w:rPr>
      </w:pPr>
      <w:r>
        <w:rPr>
          <w:rFonts w:cs="Times New Roman"/>
          <w:lang w:bidi="ar"/>
        </w:rPr>
        <w:t>阻止受污染地下水</w:t>
      </w:r>
      <w:r>
        <w:rPr>
          <w:rFonts w:hint="eastAsia" w:cs="Times New Roman"/>
          <w:lang w:bidi="ar"/>
        </w:rPr>
        <w:t>的</w:t>
      </w:r>
      <w:r>
        <w:rPr>
          <w:rFonts w:cs="Times New Roman"/>
          <w:lang w:bidi="ar"/>
        </w:rPr>
        <w:t>迁移扩散以及对地下建筑</w:t>
      </w:r>
      <w:r>
        <w:rPr>
          <w:rFonts w:hint="eastAsia" w:cs="Times New Roman"/>
          <w:lang w:bidi="ar"/>
        </w:rPr>
        <w:t>和</w:t>
      </w:r>
      <w:r>
        <w:rPr>
          <w:rFonts w:cs="Times New Roman"/>
          <w:lang w:bidi="ar"/>
        </w:rPr>
        <w:t>设施</w:t>
      </w:r>
      <w:r>
        <w:rPr>
          <w:rFonts w:hint="eastAsia" w:cs="Times New Roman"/>
          <w:lang w:bidi="ar"/>
        </w:rPr>
        <w:t>等</w:t>
      </w:r>
      <w:r>
        <w:rPr>
          <w:rFonts w:cs="Times New Roman"/>
          <w:lang w:bidi="ar"/>
        </w:rPr>
        <w:t>造成影响的技术包括：渗流屏障、密封公用线路、拦截墙或沟渠、泥浆墙以及可渗透反应墙（PRB）等。</w:t>
      </w:r>
    </w:p>
    <w:p>
      <w:pPr>
        <w:pStyle w:val="56"/>
        <w:ind w:firstLine="640"/>
        <w:rPr>
          <w:rFonts w:cs="Times New Roman"/>
          <w:lang w:bidi="ar"/>
        </w:rPr>
      </w:pPr>
      <w:r>
        <w:rPr>
          <w:rFonts w:hint="eastAsia" w:cs="Times New Roman"/>
          <w:lang w:bidi="ar"/>
        </w:rPr>
        <w:t>②</w:t>
      </w:r>
      <w:r>
        <w:rPr>
          <w:rFonts w:cs="Times New Roman"/>
          <w:lang w:bidi="ar"/>
        </w:rPr>
        <w:t>主要类型</w:t>
      </w:r>
    </w:p>
    <w:p>
      <w:pPr>
        <w:pStyle w:val="56"/>
        <w:ind w:firstLine="640"/>
        <w:rPr>
          <w:rFonts w:cs="Times New Roman"/>
          <w:lang w:bidi="ar"/>
        </w:rPr>
      </w:pPr>
      <w:r>
        <w:rPr>
          <w:rFonts w:cs="Times New Roman"/>
          <w:lang w:bidi="ar"/>
        </w:rPr>
        <w:t>阻隔工程管控措施</w:t>
      </w:r>
      <w:r>
        <w:rPr>
          <w:rFonts w:hint="eastAsia" w:cs="Times New Roman"/>
          <w:lang w:bidi="ar"/>
        </w:rPr>
        <w:t>分为</w:t>
      </w:r>
      <w:r>
        <w:rPr>
          <w:rFonts w:cs="Times New Roman"/>
          <w:lang w:bidi="ar"/>
        </w:rPr>
        <w:t>水平阻隔</w:t>
      </w:r>
      <w:r>
        <w:rPr>
          <w:rFonts w:hint="eastAsia" w:cs="Times New Roman"/>
          <w:lang w:bidi="ar"/>
        </w:rPr>
        <w:t>技术</w:t>
      </w:r>
      <w:r>
        <w:rPr>
          <w:rFonts w:cs="Times New Roman"/>
          <w:lang w:bidi="ar"/>
        </w:rPr>
        <w:t>和垂直阻隔</w:t>
      </w:r>
      <w:r>
        <w:rPr>
          <w:rFonts w:hint="eastAsia" w:cs="Times New Roman"/>
          <w:lang w:bidi="ar"/>
        </w:rPr>
        <w:t>技术</w:t>
      </w:r>
      <w:r>
        <w:rPr>
          <w:rFonts w:cs="Times New Roman"/>
          <w:lang w:bidi="ar"/>
        </w:rPr>
        <w:t>两大类。阻隔技术类型</w:t>
      </w:r>
      <w:r>
        <w:rPr>
          <w:rFonts w:hint="eastAsia" w:cs="Times New Roman"/>
          <w:lang w:bidi="ar"/>
        </w:rPr>
        <w:t>的</w:t>
      </w:r>
      <w:r>
        <w:rPr>
          <w:rFonts w:cs="Times New Roman"/>
          <w:lang w:bidi="ar"/>
        </w:rPr>
        <w:t>选取主要应基于既定的风险管控目标和需要切断的暴露途径，污染物垂直方向扩散迁移应采用水平阻隔，污染物水平方向扩散迁移应采用垂直阻隔。各类型特点及适用性见</w:t>
      </w:r>
      <w:r>
        <w:rPr>
          <w:rFonts w:hint="eastAsia" w:cs="Times New Roman"/>
          <w:lang w:bidi="ar"/>
        </w:rPr>
        <w:t>附录F</w:t>
      </w:r>
      <w:r>
        <w:rPr>
          <w:rFonts w:cs="Times New Roman"/>
          <w:lang w:bidi="ar"/>
        </w:rPr>
        <w:t>。</w:t>
      </w:r>
    </w:p>
    <w:p>
      <w:pPr>
        <w:pStyle w:val="56"/>
        <w:ind w:firstLine="640"/>
        <w:rPr>
          <w:rFonts w:cs="Times New Roman"/>
          <w:lang w:bidi="ar"/>
        </w:rPr>
      </w:pPr>
      <w:r>
        <w:rPr>
          <w:rFonts w:hint="eastAsia" w:cs="Times New Roman"/>
          <w:lang w:bidi="ar"/>
        </w:rPr>
        <w:t>③</w:t>
      </w:r>
      <w:r>
        <w:rPr>
          <w:rFonts w:cs="Times New Roman"/>
          <w:lang w:bidi="ar"/>
        </w:rPr>
        <w:t>实施要点</w:t>
      </w:r>
    </w:p>
    <w:p>
      <w:pPr>
        <w:pStyle w:val="56"/>
        <w:ind w:firstLine="640"/>
        <w:rPr>
          <w:rFonts w:cs="Times New Roman"/>
          <w:lang w:bidi="ar"/>
        </w:rPr>
      </w:pPr>
      <w:r>
        <w:rPr>
          <w:rFonts w:cs="Times New Roman"/>
          <w:lang w:bidi="ar"/>
        </w:rPr>
        <w:t>具体</w:t>
      </w:r>
      <w:r>
        <w:rPr>
          <w:rFonts w:hint="eastAsia" w:cs="Times New Roman"/>
          <w:lang w:bidi="ar"/>
        </w:rPr>
        <w:t>工程</w:t>
      </w:r>
      <w:r>
        <w:rPr>
          <w:rFonts w:cs="Times New Roman"/>
          <w:lang w:bidi="ar"/>
        </w:rPr>
        <w:t>措施</w:t>
      </w:r>
      <w:r>
        <w:rPr>
          <w:rFonts w:hint="eastAsia" w:cs="Times New Roman"/>
          <w:lang w:bidi="ar"/>
        </w:rPr>
        <w:t>的</w:t>
      </w:r>
      <w:r>
        <w:rPr>
          <w:rFonts w:cs="Times New Roman"/>
          <w:lang w:bidi="ar"/>
        </w:rPr>
        <w:t>实施要点参照《污染地块地下水修复和风险管控技术导则》（HJ 25.6）、《关于发布2014年污染场地修复技术目录（第一批）的公告》、《</w:t>
      </w:r>
      <w:r>
        <w:fldChar w:fldCharType="begin"/>
      </w:r>
      <w:r>
        <w:instrText xml:space="preserve"> HYPERLINK "http://www.mee.gov.cn/xxgk2018/xxgk/xxgk06/202003/W020200309363265768138.pdf" </w:instrText>
      </w:r>
      <w:r>
        <w:fldChar w:fldCharType="separate"/>
      </w:r>
      <w:r>
        <w:rPr>
          <w:rFonts w:cs="Times New Roman"/>
          <w:lang w:bidi="ar"/>
        </w:rPr>
        <w:t>地下水污染源防渗技术指南（试行）</w:t>
      </w:r>
      <w:r>
        <w:rPr>
          <w:rFonts w:cs="Times New Roman"/>
          <w:lang w:bidi="ar"/>
        </w:rPr>
        <w:fldChar w:fldCharType="end"/>
      </w:r>
      <w:r>
        <w:rPr>
          <w:rFonts w:cs="Times New Roman"/>
          <w:lang w:bidi="ar"/>
        </w:rPr>
        <w:t>》、《韶关市污染地块土壤污染治理与修复技术手册》、</w:t>
      </w:r>
      <w:bookmarkStart w:id="214" w:name="_Hlk83218970"/>
      <w:r>
        <w:rPr>
          <w:rFonts w:cs="Times New Roman"/>
          <w:lang w:bidi="ar"/>
        </w:rPr>
        <w:t>《污染地块风险管控技术指南</w:t>
      </w:r>
      <w:r>
        <w:rPr>
          <w:rFonts w:hint="eastAsia" w:cs="Times New Roman"/>
          <w:lang w:bidi="ar"/>
        </w:rPr>
        <w:t>—</w:t>
      </w:r>
      <w:r>
        <w:rPr>
          <w:rFonts w:cs="Times New Roman"/>
          <w:lang w:bidi="ar"/>
        </w:rPr>
        <w:t>阻隔技术（试行）（征求意见稿）》</w:t>
      </w:r>
      <w:bookmarkEnd w:id="214"/>
      <w:r>
        <w:rPr>
          <w:rFonts w:cs="Times New Roman"/>
          <w:lang w:bidi="ar"/>
        </w:rPr>
        <w:t>等相关导则规范执行。</w:t>
      </w:r>
    </w:p>
    <w:p>
      <w:pPr>
        <w:pStyle w:val="78"/>
        <w:numPr>
          <w:ilvl w:val="0"/>
          <w:numId w:val="0"/>
        </w:numPr>
        <w:outlineLvl w:val="3"/>
        <w:rPr>
          <w:rFonts w:cs="Times New Roman"/>
          <w:lang w:bidi="ar"/>
        </w:rPr>
      </w:pPr>
      <w:bookmarkStart w:id="215" w:name="_Toc69994248"/>
      <w:bookmarkStart w:id="216" w:name="_Toc75817473"/>
      <w:bookmarkStart w:id="217" w:name="_Toc83156834"/>
      <w:bookmarkStart w:id="218" w:name="_Toc83565271"/>
      <w:bookmarkStart w:id="219" w:name="_Toc83634762"/>
      <w:r>
        <w:rPr>
          <w:rFonts w:cs="Times New Roman"/>
          <w:lang w:bidi="ar"/>
        </w:rPr>
        <w:t>7.3.2.2  预防二次污染</w:t>
      </w:r>
      <w:bookmarkEnd w:id="215"/>
      <w:bookmarkEnd w:id="216"/>
      <w:bookmarkEnd w:id="217"/>
      <w:bookmarkEnd w:id="218"/>
      <w:bookmarkEnd w:id="219"/>
    </w:p>
    <w:p>
      <w:pPr>
        <w:pStyle w:val="56"/>
        <w:ind w:firstLine="640"/>
        <w:rPr>
          <w:rFonts w:cs="Times New Roman"/>
          <w:lang w:bidi="ar"/>
        </w:rPr>
      </w:pPr>
      <w:r>
        <w:rPr>
          <w:rFonts w:cs="Times New Roman"/>
          <w:lang w:bidi="ar"/>
        </w:rPr>
        <w:t>工程管控措施的实施需要对受污染的土壤进行开挖处理，在开挖或暂存的过程中，可能造成土壤与人体皮肤接触、吸入颗粒物或气体以及其他污染物随地表径流迁移至地表水或周边其他敏感环境受体中的二次污染风险。</w:t>
      </w:r>
    </w:p>
    <w:p>
      <w:pPr>
        <w:pStyle w:val="56"/>
        <w:ind w:firstLine="640"/>
        <w:rPr>
          <w:rFonts w:cs="Times New Roman"/>
          <w:lang w:bidi="ar"/>
        </w:rPr>
      </w:pPr>
      <w:r>
        <w:rPr>
          <w:rFonts w:cs="Times New Roman"/>
          <w:lang w:bidi="ar"/>
        </w:rPr>
        <w:t>减少二次污染的措施包括：</w:t>
      </w:r>
      <w:r>
        <w:rPr>
          <w:rFonts w:hint="eastAsia" w:eastAsia="宋体" w:cs="Times New Roman"/>
          <w:lang w:bidi="ar"/>
        </w:rPr>
        <w:t>①</w:t>
      </w:r>
      <w:r>
        <w:rPr>
          <w:rFonts w:cs="Times New Roman"/>
          <w:lang w:bidi="ar"/>
        </w:rPr>
        <w:t>对开挖后的土壤进行苫盖处理，防止扬尘；</w:t>
      </w:r>
      <w:r>
        <w:rPr>
          <w:rFonts w:hint="eastAsia" w:eastAsia="宋体" w:cs="Times New Roman"/>
          <w:lang w:bidi="ar"/>
        </w:rPr>
        <w:t>②</w:t>
      </w:r>
      <w:r>
        <w:rPr>
          <w:rFonts w:cs="Times New Roman"/>
          <w:lang w:bidi="ar"/>
        </w:rPr>
        <w:t>操作全过程中使用吸附剂、泵或其他设备用以及时清理泼散物；</w:t>
      </w:r>
      <w:r>
        <w:rPr>
          <w:rFonts w:hint="eastAsia" w:eastAsia="宋体" w:cs="Times New Roman"/>
          <w:lang w:bidi="ar"/>
        </w:rPr>
        <w:t>③</w:t>
      </w:r>
      <w:r>
        <w:rPr>
          <w:rFonts w:cs="Times New Roman"/>
          <w:lang w:bidi="ar"/>
        </w:rPr>
        <w:t>地块周围设置地面导水沟用以控制地表径流；</w:t>
      </w:r>
      <w:r>
        <w:rPr>
          <w:rFonts w:hint="eastAsia" w:eastAsia="宋体" w:cs="Times New Roman"/>
          <w:lang w:bidi="ar"/>
        </w:rPr>
        <w:t>④</w:t>
      </w:r>
      <w:r>
        <w:rPr>
          <w:rFonts w:cs="Times New Roman"/>
          <w:lang w:bidi="ar"/>
        </w:rPr>
        <w:t>在地块下坡处构筑贮留池用以阻隔受污染的径流。</w:t>
      </w:r>
    </w:p>
    <w:p>
      <w:pPr>
        <w:pStyle w:val="69"/>
        <w:numPr>
          <w:ilvl w:val="0"/>
          <w:numId w:val="0"/>
        </w:numPr>
        <w:rPr>
          <w:lang w:bidi="ar"/>
        </w:rPr>
      </w:pPr>
      <w:bookmarkStart w:id="220" w:name="_Toc69994104"/>
      <w:bookmarkEnd w:id="220"/>
      <w:bookmarkStart w:id="221" w:name="_Toc69994251"/>
      <w:bookmarkEnd w:id="221"/>
      <w:bookmarkStart w:id="222" w:name="_Toc69994108"/>
      <w:bookmarkEnd w:id="222"/>
      <w:bookmarkStart w:id="223" w:name="_Toc69994252"/>
      <w:bookmarkEnd w:id="223"/>
      <w:bookmarkStart w:id="224" w:name="_Toc69994110"/>
      <w:bookmarkEnd w:id="224"/>
      <w:bookmarkStart w:id="225" w:name="_Toc69994250"/>
      <w:bookmarkEnd w:id="225"/>
      <w:bookmarkStart w:id="226" w:name="_Toc69994109"/>
      <w:bookmarkEnd w:id="226"/>
      <w:bookmarkStart w:id="227" w:name="_Toc69994253"/>
      <w:bookmarkEnd w:id="227"/>
      <w:bookmarkStart w:id="228" w:name="_Toc69994254"/>
      <w:bookmarkEnd w:id="228"/>
      <w:bookmarkStart w:id="229" w:name="_Toc69994255"/>
      <w:bookmarkEnd w:id="229"/>
      <w:bookmarkStart w:id="230" w:name="_Toc69994107"/>
      <w:bookmarkEnd w:id="230"/>
      <w:bookmarkStart w:id="231" w:name="_Toc69994249"/>
      <w:bookmarkEnd w:id="231"/>
      <w:bookmarkStart w:id="232" w:name="_Toc69994106"/>
      <w:bookmarkEnd w:id="232"/>
      <w:bookmarkStart w:id="233" w:name="_Toc69994105"/>
      <w:bookmarkEnd w:id="233"/>
      <w:bookmarkStart w:id="234" w:name="_Toc77932794"/>
      <w:bookmarkStart w:id="235" w:name="_Toc83156835"/>
      <w:bookmarkStart w:id="236" w:name="_Toc83565272"/>
      <w:bookmarkStart w:id="237" w:name="_Toc83634763"/>
      <w:bookmarkStart w:id="238" w:name="_Toc63547169"/>
      <w:bookmarkStart w:id="239" w:name="_Toc75817474"/>
      <w:r>
        <w:rPr>
          <w:lang w:bidi="ar"/>
        </w:rPr>
        <w:t>7.4  周边环境监测</w:t>
      </w:r>
      <w:bookmarkEnd w:id="234"/>
      <w:bookmarkEnd w:id="235"/>
      <w:bookmarkEnd w:id="236"/>
      <w:bookmarkEnd w:id="237"/>
    </w:p>
    <w:p>
      <w:pPr>
        <w:pStyle w:val="56"/>
        <w:ind w:firstLine="640"/>
        <w:rPr>
          <w:rFonts w:cs="Times New Roman"/>
          <w:lang w:bidi="ar"/>
        </w:rPr>
      </w:pPr>
      <w:r>
        <w:rPr>
          <w:rFonts w:cs="Times New Roman"/>
          <w:lang w:bidi="ar"/>
        </w:rPr>
        <w:t>对存在污染扩散风险的暂不开发利用地块，土地使用权人需要编制周边土壤和地下水环境监测方案，原则上每年至少监测</w:t>
      </w:r>
      <w:r>
        <w:rPr>
          <w:rFonts w:hint="eastAsia" w:cs="Times New Roman"/>
          <w:lang w:bidi="ar"/>
        </w:rPr>
        <w:t>一</w:t>
      </w:r>
      <w:r>
        <w:rPr>
          <w:rFonts w:cs="Times New Roman"/>
          <w:lang w:bidi="ar"/>
        </w:rPr>
        <w:t>次。</w:t>
      </w:r>
    </w:p>
    <w:p>
      <w:pPr>
        <w:pStyle w:val="56"/>
        <w:ind w:firstLine="640"/>
        <w:rPr>
          <w:rFonts w:cs="Times New Roman"/>
          <w:lang w:bidi="ar"/>
        </w:rPr>
      </w:pPr>
      <w:r>
        <w:rPr>
          <w:rFonts w:cs="Times New Roman"/>
          <w:lang w:bidi="ar"/>
        </w:rPr>
        <w:t>地块周边土壤和地下水监测点位布设</w:t>
      </w:r>
      <w:r>
        <w:rPr>
          <w:rFonts w:hint="eastAsia" w:cs="Times New Roman"/>
          <w:lang w:bidi="ar"/>
        </w:rPr>
        <w:t>与</w:t>
      </w:r>
      <w:r>
        <w:rPr>
          <w:rFonts w:cs="Times New Roman"/>
          <w:lang w:bidi="ar"/>
        </w:rPr>
        <w:t>样品采集</w:t>
      </w:r>
      <w:r>
        <w:rPr>
          <w:rFonts w:hint="eastAsia" w:cs="Times New Roman"/>
          <w:lang w:bidi="ar"/>
        </w:rPr>
        <w:t>按照</w:t>
      </w:r>
      <w:r>
        <w:rPr>
          <w:rFonts w:cs="Times New Roman"/>
          <w:lang w:bidi="ar"/>
        </w:rPr>
        <w:t>《土壤环境监测技术规范》（HJ/T 166）、《地下水环境监测技术规范》（HJ/T 164）等相关技术规定</w:t>
      </w:r>
      <w:r>
        <w:rPr>
          <w:rFonts w:hint="eastAsia" w:cs="Times New Roman"/>
          <w:lang w:bidi="ar"/>
        </w:rPr>
        <w:t>执行。</w:t>
      </w:r>
      <w:r>
        <w:rPr>
          <w:rFonts w:cs="Times New Roman"/>
          <w:lang w:bidi="ar"/>
        </w:rPr>
        <w:t>在地块区域四周各方向至少布设</w:t>
      </w:r>
      <w:r>
        <w:rPr>
          <w:rFonts w:hint="eastAsia" w:cs="Times New Roman"/>
          <w:lang w:bidi="ar"/>
        </w:rPr>
        <w:t>一</w:t>
      </w:r>
      <w:r>
        <w:rPr>
          <w:rFonts w:cs="Times New Roman"/>
          <w:lang w:bidi="ar"/>
        </w:rPr>
        <w:t>个采样点位，在地块地下水流向上游和下游处各布设</w:t>
      </w:r>
      <w:r>
        <w:rPr>
          <w:rFonts w:hint="eastAsia" w:cs="Times New Roman"/>
          <w:lang w:bidi="ar"/>
        </w:rPr>
        <w:t>一</w:t>
      </w:r>
      <w:r>
        <w:rPr>
          <w:rFonts w:cs="Times New Roman"/>
          <w:lang w:bidi="ar"/>
        </w:rPr>
        <w:t>个监测点</w:t>
      </w:r>
      <w:r>
        <w:rPr>
          <w:rFonts w:hint="eastAsia" w:cs="Times New Roman"/>
          <w:lang w:bidi="ar"/>
        </w:rPr>
        <w:t>位</w:t>
      </w:r>
      <w:r>
        <w:rPr>
          <w:rFonts w:cs="Times New Roman"/>
          <w:lang w:bidi="ar"/>
        </w:rPr>
        <w:t>。</w:t>
      </w:r>
    </w:p>
    <w:p>
      <w:pPr>
        <w:pStyle w:val="56"/>
        <w:ind w:firstLine="640"/>
        <w:rPr>
          <w:rFonts w:cs="Times New Roman"/>
          <w:lang w:bidi="ar"/>
        </w:rPr>
      </w:pPr>
      <w:r>
        <w:rPr>
          <w:rFonts w:cs="Times New Roman"/>
          <w:lang w:bidi="ar"/>
        </w:rPr>
        <w:t>监测指标应</w:t>
      </w:r>
      <w:r>
        <w:rPr>
          <w:rFonts w:hint="eastAsia" w:cs="Times New Roman"/>
          <w:lang w:bidi="ar"/>
        </w:rPr>
        <w:t>根据</w:t>
      </w:r>
      <w:r>
        <w:rPr>
          <w:rFonts w:cs="Times New Roman"/>
          <w:lang w:bidi="ar"/>
        </w:rPr>
        <w:t>地块</w:t>
      </w:r>
      <w:r>
        <w:rPr>
          <w:rFonts w:hint="eastAsia" w:cs="Times New Roman"/>
          <w:lang w:bidi="ar"/>
        </w:rPr>
        <w:t>的</w:t>
      </w:r>
      <w:r>
        <w:rPr>
          <w:rFonts w:cs="Times New Roman"/>
          <w:lang w:bidi="ar"/>
        </w:rPr>
        <w:t>土壤污染状况调查结果</w:t>
      </w:r>
      <w:r>
        <w:rPr>
          <w:rFonts w:hint="eastAsia" w:cs="Times New Roman"/>
          <w:lang w:bidi="ar"/>
        </w:rPr>
        <w:t>进行</w:t>
      </w:r>
      <w:r>
        <w:rPr>
          <w:rFonts w:cs="Times New Roman"/>
          <w:lang w:bidi="ar"/>
        </w:rPr>
        <w:t>确定，包括但不限于地块特征污染物、调查确定的超标因子等。</w:t>
      </w:r>
    </w:p>
    <w:p>
      <w:pPr>
        <w:pStyle w:val="56"/>
        <w:ind w:firstLine="640"/>
        <w:rPr>
          <w:rFonts w:cs="Times New Roman"/>
          <w:lang w:bidi="ar"/>
        </w:rPr>
      </w:pPr>
      <w:r>
        <w:rPr>
          <w:rFonts w:cs="Times New Roman"/>
          <w:lang w:bidi="ar"/>
        </w:rPr>
        <w:t>若地块周边环境监测发现土壤</w:t>
      </w:r>
      <w:r>
        <w:rPr>
          <w:rFonts w:hint="eastAsia" w:cs="Times New Roman"/>
          <w:lang w:bidi="ar"/>
        </w:rPr>
        <w:t>和</w:t>
      </w:r>
      <w:r>
        <w:rPr>
          <w:rFonts w:cs="Times New Roman"/>
          <w:lang w:bidi="ar"/>
        </w:rPr>
        <w:t>地下水存在污染迹象的，土地使用权人应及时报送市生态环境局和市自然资源局，排查污染源，查明污染原因，</w:t>
      </w:r>
      <w:r>
        <w:rPr>
          <w:rFonts w:hint="eastAsia" w:cs="Times New Roman"/>
          <w:lang w:bidi="ar"/>
        </w:rPr>
        <w:t>并</w:t>
      </w:r>
      <w:r>
        <w:rPr>
          <w:rFonts w:cs="Times New Roman"/>
          <w:lang w:bidi="ar"/>
        </w:rPr>
        <w:t>开展风险评估，根据评估结果采取</w:t>
      </w:r>
      <w:r>
        <w:rPr>
          <w:rFonts w:hint="eastAsia" w:cs="Times New Roman"/>
          <w:lang w:bidi="ar"/>
        </w:rPr>
        <w:t>治理或者管控措施</w:t>
      </w:r>
      <w:r>
        <w:rPr>
          <w:rFonts w:cs="Times New Roman"/>
          <w:lang w:bidi="ar"/>
        </w:rPr>
        <w:t>，以防止新增污染。</w:t>
      </w:r>
    </w:p>
    <w:p>
      <w:pPr>
        <w:pStyle w:val="53"/>
        <w:numPr>
          <w:ilvl w:val="0"/>
          <w:numId w:val="0"/>
        </w:numPr>
        <w:rPr>
          <w:lang w:bidi="ar"/>
        </w:rPr>
      </w:pPr>
      <w:bookmarkStart w:id="240" w:name="_Toc83156836"/>
      <w:bookmarkStart w:id="241" w:name="_Toc83565273"/>
      <w:bookmarkStart w:id="242" w:name="_Toc83634764"/>
      <w:bookmarkStart w:id="243" w:name="_Toc77932795"/>
      <w:bookmarkStart w:id="244" w:name="_Hlk78379036"/>
      <w:r>
        <w:rPr>
          <w:lang w:bidi="ar"/>
        </w:rPr>
        <w:t>8  后期监管</w:t>
      </w:r>
      <w:bookmarkEnd w:id="238"/>
      <w:bookmarkEnd w:id="239"/>
      <w:bookmarkEnd w:id="240"/>
      <w:bookmarkEnd w:id="241"/>
      <w:bookmarkEnd w:id="242"/>
      <w:bookmarkEnd w:id="243"/>
    </w:p>
    <w:bookmarkEnd w:id="244"/>
    <w:p>
      <w:pPr>
        <w:pStyle w:val="69"/>
        <w:numPr>
          <w:ilvl w:val="0"/>
          <w:numId w:val="0"/>
        </w:numPr>
        <w:rPr>
          <w:lang w:bidi="ar"/>
        </w:rPr>
      </w:pPr>
      <w:bookmarkStart w:id="245" w:name="_Toc75817475"/>
      <w:bookmarkStart w:id="246" w:name="_Toc83156837"/>
      <w:bookmarkStart w:id="247" w:name="_Toc77932796"/>
      <w:bookmarkStart w:id="248" w:name="_Toc83634765"/>
      <w:bookmarkStart w:id="249" w:name="_Toc83565274"/>
      <w:r>
        <w:rPr>
          <w:lang w:bidi="ar"/>
        </w:rPr>
        <w:t xml:space="preserve">8.1  </w:t>
      </w:r>
      <w:bookmarkEnd w:id="245"/>
      <w:bookmarkEnd w:id="246"/>
      <w:bookmarkEnd w:id="247"/>
      <w:r>
        <w:rPr>
          <w:rFonts w:hint="eastAsia"/>
          <w:lang w:bidi="ar"/>
        </w:rPr>
        <w:t>总体要求</w:t>
      </w:r>
      <w:bookmarkEnd w:id="248"/>
      <w:bookmarkEnd w:id="249"/>
    </w:p>
    <w:p>
      <w:pPr>
        <w:pStyle w:val="56"/>
        <w:ind w:firstLine="640"/>
        <w:rPr>
          <w:rFonts w:cs="Times New Roman"/>
          <w:lang w:bidi="ar"/>
        </w:rPr>
      </w:pPr>
      <w:r>
        <w:rPr>
          <w:rFonts w:cs="Times New Roman"/>
          <w:lang w:bidi="ar"/>
        </w:rPr>
        <w:t>市生态环境局和市自然资源局对于采取管控措施的暂不开发利用地块，依据自身职责进行</w:t>
      </w:r>
      <w:bookmarkStart w:id="250" w:name="_Hlk78379068"/>
      <w:r>
        <w:rPr>
          <w:rFonts w:cs="Times New Roman"/>
          <w:lang w:bidi="ar"/>
        </w:rPr>
        <w:t>不定期巡查</w:t>
      </w:r>
      <w:bookmarkEnd w:id="250"/>
      <w:r>
        <w:rPr>
          <w:rFonts w:cs="Times New Roman"/>
          <w:lang w:bidi="ar"/>
        </w:rPr>
        <w:t>。土地使用权人应做好各类管控措施的日常维护和档案整理备查</w:t>
      </w:r>
      <w:r>
        <w:rPr>
          <w:rFonts w:hint="eastAsia" w:cs="Times New Roman"/>
          <w:lang w:bidi="ar"/>
        </w:rPr>
        <w:t>工作</w:t>
      </w:r>
      <w:r>
        <w:rPr>
          <w:rFonts w:cs="Times New Roman"/>
          <w:lang w:bidi="ar"/>
        </w:rPr>
        <w:t>，发现问题及时整改。</w:t>
      </w:r>
    </w:p>
    <w:p>
      <w:pPr>
        <w:pStyle w:val="69"/>
        <w:numPr>
          <w:ilvl w:val="0"/>
          <w:numId w:val="0"/>
        </w:numPr>
        <w:rPr>
          <w:lang w:bidi="ar"/>
        </w:rPr>
      </w:pPr>
      <w:bookmarkStart w:id="251" w:name="_Toc83156838"/>
      <w:bookmarkStart w:id="252" w:name="_Toc83634766"/>
      <w:bookmarkStart w:id="253" w:name="_Toc83565275"/>
      <w:bookmarkStart w:id="254" w:name="_Toc77932797"/>
      <w:bookmarkStart w:id="255" w:name="_Toc75817476"/>
      <w:r>
        <w:rPr>
          <w:lang w:bidi="ar"/>
        </w:rPr>
        <w:t>8.2  巡查</w:t>
      </w:r>
      <w:bookmarkEnd w:id="251"/>
      <w:bookmarkEnd w:id="252"/>
      <w:bookmarkEnd w:id="253"/>
      <w:bookmarkEnd w:id="254"/>
      <w:bookmarkEnd w:id="255"/>
    </w:p>
    <w:p>
      <w:pPr>
        <w:pStyle w:val="56"/>
        <w:ind w:firstLine="640"/>
        <w:rPr>
          <w:rFonts w:cs="Times New Roman"/>
          <w:lang w:bidi="ar"/>
        </w:rPr>
      </w:pPr>
      <w:r>
        <w:rPr>
          <w:rFonts w:cs="Times New Roman"/>
          <w:lang w:bidi="ar"/>
        </w:rPr>
        <w:t>市生态环境局和市自然资源局依据各自职责进行巡查，一年一次。巡查应重点检查以下几点：</w:t>
      </w:r>
    </w:p>
    <w:p>
      <w:pPr>
        <w:pStyle w:val="56"/>
        <w:ind w:firstLine="640"/>
        <w:rPr>
          <w:rFonts w:cs="Times New Roman"/>
          <w:lang w:bidi="ar"/>
        </w:rPr>
      </w:pPr>
      <w:r>
        <w:rPr>
          <w:rFonts w:hint="eastAsia" w:cs="Times New Roman"/>
          <w:lang w:bidi="ar"/>
        </w:rPr>
        <w:t>①</w:t>
      </w:r>
      <w:r>
        <w:rPr>
          <w:rFonts w:cs="Times New Roman"/>
          <w:lang w:bidi="ar"/>
        </w:rPr>
        <w:t>本地块管控措施同风险管控方案是否一致，是否存在明显问题；</w:t>
      </w:r>
    </w:p>
    <w:p>
      <w:pPr>
        <w:pStyle w:val="56"/>
        <w:ind w:firstLine="640"/>
        <w:rPr>
          <w:rFonts w:cs="Times New Roman"/>
          <w:lang w:bidi="ar"/>
        </w:rPr>
      </w:pPr>
      <w:r>
        <w:rPr>
          <w:rFonts w:hint="eastAsia" w:cs="Times New Roman"/>
          <w:lang w:bidi="ar"/>
        </w:rPr>
        <w:t>②</w:t>
      </w:r>
      <w:r>
        <w:rPr>
          <w:rFonts w:cs="Times New Roman"/>
          <w:lang w:bidi="ar"/>
        </w:rPr>
        <w:t>本地块内是否种植农作物，养殖动物；</w:t>
      </w:r>
    </w:p>
    <w:p>
      <w:pPr>
        <w:pStyle w:val="56"/>
        <w:ind w:firstLine="640"/>
        <w:rPr>
          <w:rFonts w:cs="Times New Roman"/>
          <w:lang w:bidi="ar"/>
        </w:rPr>
      </w:pPr>
      <w:r>
        <w:rPr>
          <w:rFonts w:hint="eastAsia" w:cs="Times New Roman"/>
          <w:lang w:bidi="ar"/>
        </w:rPr>
        <w:t>③</w:t>
      </w:r>
      <w:r>
        <w:rPr>
          <w:rFonts w:cs="Times New Roman"/>
          <w:lang w:bidi="ar"/>
        </w:rPr>
        <w:t>本地块内是否进行开发建设活动；</w:t>
      </w:r>
    </w:p>
    <w:p>
      <w:pPr>
        <w:pStyle w:val="56"/>
        <w:ind w:firstLine="640"/>
        <w:rPr>
          <w:rFonts w:cs="Times New Roman"/>
          <w:lang w:bidi="ar"/>
        </w:rPr>
      </w:pPr>
      <w:r>
        <w:rPr>
          <w:rFonts w:hint="eastAsia" w:cs="Times New Roman"/>
          <w:lang w:bidi="ar"/>
        </w:rPr>
        <w:t>④</w:t>
      </w:r>
      <w:r>
        <w:rPr>
          <w:rFonts w:cs="Times New Roman"/>
          <w:lang w:bidi="ar"/>
        </w:rPr>
        <w:t>本地块内是否倾倒、堆放工业废渣及城市垃圾、粪便及其他有害废弃物；</w:t>
      </w:r>
    </w:p>
    <w:p>
      <w:pPr>
        <w:pStyle w:val="56"/>
        <w:ind w:firstLine="640"/>
        <w:rPr>
          <w:rFonts w:cs="Times New Roman"/>
          <w:lang w:bidi="ar"/>
        </w:rPr>
      </w:pPr>
      <w:r>
        <w:rPr>
          <w:rFonts w:hint="eastAsia" w:cs="Times New Roman"/>
          <w:lang w:bidi="ar"/>
        </w:rPr>
        <w:t>⑤</w:t>
      </w:r>
      <w:r>
        <w:rPr>
          <w:rFonts w:cs="Times New Roman"/>
          <w:lang w:bidi="ar"/>
        </w:rPr>
        <w:t>本地块内是否排放污水；</w:t>
      </w:r>
    </w:p>
    <w:p>
      <w:pPr>
        <w:pStyle w:val="56"/>
        <w:ind w:firstLine="640"/>
        <w:rPr>
          <w:rFonts w:cs="Times New Roman"/>
          <w:lang w:bidi="ar"/>
        </w:rPr>
      </w:pPr>
      <w:r>
        <w:rPr>
          <w:rFonts w:hint="eastAsia" w:cs="Times New Roman"/>
          <w:lang w:bidi="ar"/>
        </w:rPr>
        <w:t>⑥</w:t>
      </w:r>
      <w:r>
        <w:rPr>
          <w:rFonts w:cs="Times New Roman"/>
          <w:lang w:bidi="ar"/>
        </w:rPr>
        <w:t>是否有输送污水的渠道、管道和输油管道通过本地块；</w:t>
      </w:r>
    </w:p>
    <w:p>
      <w:pPr>
        <w:pStyle w:val="56"/>
        <w:ind w:firstLine="640"/>
        <w:rPr>
          <w:rFonts w:cs="Times New Roman"/>
          <w:lang w:bidi="ar"/>
        </w:rPr>
      </w:pPr>
      <w:r>
        <w:rPr>
          <w:rFonts w:hint="eastAsia" w:cs="Times New Roman"/>
          <w:lang w:bidi="ar"/>
        </w:rPr>
        <w:t>⑦本</w:t>
      </w:r>
      <w:r>
        <w:rPr>
          <w:rFonts w:cs="Times New Roman"/>
          <w:lang w:bidi="ar"/>
        </w:rPr>
        <w:t>地块周边土壤</w:t>
      </w:r>
      <w:r>
        <w:rPr>
          <w:rFonts w:hint="eastAsia" w:cs="Times New Roman"/>
          <w:lang w:bidi="ar"/>
        </w:rPr>
        <w:t>、</w:t>
      </w:r>
      <w:r>
        <w:rPr>
          <w:rFonts w:cs="Times New Roman"/>
          <w:lang w:bidi="ar"/>
        </w:rPr>
        <w:t>地下水</w:t>
      </w:r>
      <w:r>
        <w:rPr>
          <w:rFonts w:hint="eastAsia" w:cs="Times New Roman"/>
          <w:lang w:bidi="ar"/>
        </w:rPr>
        <w:t>环境质量</w:t>
      </w:r>
      <w:r>
        <w:rPr>
          <w:rFonts w:cs="Times New Roman"/>
          <w:lang w:bidi="ar"/>
        </w:rPr>
        <w:t>是否</w:t>
      </w:r>
      <w:r>
        <w:rPr>
          <w:rFonts w:hint="eastAsia" w:cs="Times New Roman"/>
          <w:lang w:bidi="ar"/>
        </w:rPr>
        <w:t>存在</w:t>
      </w:r>
      <w:r>
        <w:rPr>
          <w:rFonts w:cs="Times New Roman"/>
          <w:lang w:bidi="ar"/>
        </w:rPr>
        <w:t>较大变化</w:t>
      </w:r>
      <w:r>
        <w:rPr>
          <w:rFonts w:hint="eastAsia" w:cs="Times New Roman"/>
          <w:lang w:bidi="ar"/>
        </w:rPr>
        <w:t>；</w:t>
      </w:r>
    </w:p>
    <w:p>
      <w:pPr>
        <w:pStyle w:val="56"/>
        <w:ind w:firstLine="640"/>
        <w:rPr>
          <w:rFonts w:cs="Times New Roman"/>
          <w:lang w:bidi="ar"/>
        </w:rPr>
      </w:pPr>
      <w:r>
        <w:rPr>
          <w:rFonts w:hint="eastAsia" w:cs="Times New Roman"/>
          <w:lang w:bidi="ar"/>
        </w:rPr>
        <w:t>⑧</w:t>
      </w:r>
      <w:r>
        <w:rPr>
          <w:rFonts w:cs="Times New Roman"/>
          <w:lang w:bidi="ar"/>
        </w:rPr>
        <w:t>是否存在从事与本地块后期监管无关的其他项目、活动等。</w:t>
      </w:r>
    </w:p>
    <w:p>
      <w:pPr>
        <w:pStyle w:val="56"/>
        <w:ind w:firstLine="640"/>
        <w:rPr>
          <w:rFonts w:cs="Times New Roman"/>
          <w:lang w:bidi="ar"/>
        </w:rPr>
      </w:pPr>
      <w:r>
        <w:rPr>
          <w:rFonts w:cs="Times New Roman"/>
          <w:lang w:bidi="ar"/>
        </w:rPr>
        <w:t>巡</w:t>
      </w:r>
      <w:r>
        <w:rPr>
          <w:rFonts w:hint="eastAsia" w:cs="Times New Roman"/>
          <w:lang w:bidi="ar"/>
        </w:rPr>
        <w:t>查</w:t>
      </w:r>
      <w:r>
        <w:rPr>
          <w:rFonts w:cs="Times New Roman"/>
          <w:lang w:bidi="ar"/>
        </w:rPr>
        <w:t>人员</w:t>
      </w:r>
      <w:r>
        <w:rPr>
          <w:rFonts w:hint="eastAsia" w:cs="Times New Roman"/>
          <w:lang w:bidi="ar"/>
        </w:rPr>
        <w:t>应在</w:t>
      </w:r>
      <w:r>
        <w:rPr>
          <w:rFonts w:cs="Times New Roman"/>
          <w:lang w:bidi="ar"/>
        </w:rPr>
        <w:t>现场做好记录</w:t>
      </w:r>
      <w:r>
        <w:rPr>
          <w:rFonts w:hint="eastAsia" w:cs="Times New Roman"/>
          <w:lang w:bidi="ar"/>
        </w:rPr>
        <w:t>和</w:t>
      </w:r>
      <w:r>
        <w:rPr>
          <w:rFonts w:cs="Times New Roman"/>
          <w:lang w:bidi="ar"/>
        </w:rPr>
        <w:t>拍照，发现问题及时通报并督促土地使用权人进行整改，并作为下次巡查</w:t>
      </w:r>
      <w:r>
        <w:rPr>
          <w:rFonts w:hint="eastAsia" w:cs="Times New Roman"/>
          <w:lang w:bidi="ar"/>
        </w:rPr>
        <w:t>的</w:t>
      </w:r>
      <w:r>
        <w:rPr>
          <w:rFonts w:cs="Times New Roman"/>
          <w:lang w:bidi="ar"/>
        </w:rPr>
        <w:t>重点检查内容</w:t>
      </w:r>
      <w:r>
        <w:rPr>
          <w:rFonts w:hint="eastAsia" w:cs="Times New Roman"/>
          <w:lang w:bidi="ar"/>
        </w:rPr>
        <w:t>以及</w:t>
      </w:r>
      <w:r>
        <w:rPr>
          <w:rFonts w:cs="Times New Roman"/>
          <w:lang w:bidi="ar"/>
        </w:rPr>
        <w:t>地块关注度分级动态更新的重要参考。</w:t>
      </w:r>
    </w:p>
    <w:bookmarkEnd w:id="60"/>
    <w:bookmarkEnd w:id="61"/>
    <w:p>
      <w:pPr>
        <w:pStyle w:val="69"/>
        <w:numPr>
          <w:ilvl w:val="0"/>
          <w:numId w:val="0"/>
        </w:numPr>
        <w:rPr>
          <w:lang w:bidi="ar"/>
        </w:rPr>
      </w:pPr>
      <w:bookmarkStart w:id="256" w:name="_Toc71584586"/>
      <w:bookmarkEnd w:id="256"/>
      <w:bookmarkStart w:id="257" w:name="_Toc75817411"/>
      <w:bookmarkEnd w:id="257"/>
      <w:bookmarkStart w:id="258" w:name="_Toc75817478"/>
      <w:bookmarkEnd w:id="258"/>
      <w:bookmarkStart w:id="259" w:name="_Toc71584587"/>
      <w:bookmarkEnd w:id="259"/>
      <w:bookmarkStart w:id="260" w:name="_Toc75817412"/>
      <w:bookmarkEnd w:id="260"/>
      <w:bookmarkStart w:id="261" w:name="_Toc75817479"/>
      <w:bookmarkEnd w:id="261"/>
      <w:bookmarkStart w:id="262" w:name="_Toc71584588"/>
      <w:bookmarkEnd w:id="262"/>
      <w:bookmarkStart w:id="263" w:name="_Toc75817413"/>
      <w:bookmarkEnd w:id="263"/>
      <w:bookmarkStart w:id="264" w:name="_Toc75817480"/>
      <w:bookmarkEnd w:id="264"/>
      <w:bookmarkStart w:id="265" w:name="_Toc71584589"/>
      <w:bookmarkEnd w:id="265"/>
      <w:bookmarkStart w:id="266" w:name="_Toc75817414"/>
      <w:bookmarkEnd w:id="266"/>
      <w:bookmarkStart w:id="267" w:name="_Toc75817481"/>
      <w:bookmarkEnd w:id="267"/>
      <w:bookmarkStart w:id="268" w:name="_Toc71584590"/>
      <w:bookmarkEnd w:id="268"/>
      <w:bookmarkStart w:id="269" w:name="_Toc75817415"/>
      <w:bookmarkEnd w:id="269"/>
      <w:bookmarkStart w:id="270" w:name="_Toc75817482"/>
      <w:bookmarkEnd w:id="270"/>
      <w:bookmarkStart w:id="271" w:name="_Toc71584591"/>
      <w:bookmarkEnd w:id="271"/>
      <w:bookmarkStart w:id="272" w:name="_Toc75817416"/>
      <w:bookmarkEnd w:id="272"/>
      <w:bookmarkStart w:id="273" w:name="_Toc75817483"/>
      <w:bookmarkEnd w:id="273"/>
      <w:bookmarkStart w:id="274" w:name="_Toc71584592"/>
      <w:bookmarkEnd w:id="274"/>
      <w:bookmarkStart w:id="275" w:name="_Toc75817417"/>
      <w:bookmarkEnd w:id="275"/>
      <w:bookmarkStart w:id="276" w:name="_Toc75817484"/>
      <w:bookmarkEnd w:id="276"/>
      <w:bookmarkStart w:id="277" w:name="_Toc71584593"/>
      <w:bookmarkEnd w:id="277"/>
      <w:bookmarkStart w:id="278" w:name="_Toc75817418"/>
      <w:bookmarkEnd w:id="278"/>
      <w:bookmarkStart w:id="279" w:name="_Toc75817485"/>
      <w:bookmarkEnd w:id="279"/>
      <w:bookmarkStart w:id="280" w:name="_Toc71584594"/>
      <w:bookmarkEnd w:id="280"/>
      <w:bookmarkStart w:id="281" w:name="_Toc75817419"/>
      <w:bookmarkEnd w:id="281"/>
      <w:bookmarkStart w:id="282" w:name="_Toc75817486"/>
      <w:bookmarkEnd w:id="282"/>
      <w:bookmarkStart w:id="283" w:name="_Toc71584595"/>
      <w:bookmarkEnd w:id="283"/>
      <w:bookmarkStart w:id="284" w:name="_Toc75817420"/>
      <w:bookmarkEnd w:id="284"/>
      <w:bookmarkStart w:id="285" w:name="_Toc75817487"/>
      <w:bookmarkEnd w:id="285"/>
      <w:bookmarkStart w:id="286" w:name="_Toc71584596"/>
      <w:bookmarkEnd w:id="286"/>
      <w:bookmarkStart w:id="287" w:name="_Toc75817421"/>
      <w:bookmarkEnd w:id="287"/>
      <w:bookmarkStart w:id="288" w:name="_Toc75817488"/>
      <w:bookmarkEnd w:id="288"/>
      <w:bookmarkStart w:id="289" w:name="_Toc71584597"/>
      <w:bookmarkEnd w:id="289"/>
      <w:bookmarkStart w:id="290" w:name="_Toc75817422"/>
      <w:bookmarkEnd w:id="290"/>
      <w:bookmarkStart w:id="291" w:name="_Toc75817489"/>
      <w:bookmarkEnd w:id="291"/>
      <w:bookmarkStart w:id="292" w:name="_Toc71584598"/>
      <w:bookmarkEnd w:id="292"/>
      <w:bookmarkStart w:id="293" w:name="_Toc75817423"/>
      <w:bookmarkEnd w:id="293"/>
      <w:bookmarkStart w:id="294" w:name="_Toc75817490"/>
      <w:bookmarkEnd w:id="294"/>
      <w:bookmarkStart w:id="295" w:name="_Toc71584599"/>
      <w:bookmarkEnd w:id="295"/>
      <w:bookmarkStart w:id="296" w:name="_Toc75817424"/>
      <w:bookmarkEnd w:id="296"/>
      <w:bookmarkStart w:id="297" w:name="_Toc75817491"/>
      <w:bookmarkEnd w:id="297"/>
      <w:bookmarkStart w:id="298" w:name="_Toc71584600"/>
      <w:bookmarkEnd w:id="298"/>
      <w:bookmarkStart w:id="299" w:name="_Toc75817425"/>
      <w:bookmarkEnd w:id="299"/>
      <w:bookmarkStart w:id="300" w:name="_Toc75817492"/>
      <w:bookmarkEnd w:id="300"/>
      <w:bookmarkStart w:id="301" w:name="_Toc71584601"/>
      <w:bookmarkEnd w:id="301"/>
      <w:bookmarkStart w:id="302" w:name="_Toc75817426"/>
      <w:bookmarkEnd w:id="302"/>
      <w:bookmarkStart w:id="303" w:name="_Toc75817493"/>
      <w:bookmarkEnd w:id="303"/>
      <w:bookmarkStart w:id="304" w:name="_Toc71584602"/>
      <w:bookmarkEnd w:id="304"/>
      <w:bookmarkStart w:id="305" w:name="_Toc75817427"/>
      <w:bookmarkEnd w:id="305"/>
      <w:bookmarkStart w:id="306" w:name="_Toc75817494"/>
      <w:bookmarkEnd w:id="306"/>
      <w:bookmarkStart w:id="307" w:name="_Toc71584603"/>
      <w:bookmarkEnd w:id="307"/>
      <w:bookmarkStart w:id="308" w:name="_Toc75817428"/>
      <w:bookmarkEnd w:id="308"/>
      <w:bookmarkStart w:id="309" w:name="_Toc75817495"/>
      <w:bookmarkEnd w:id="309"/>
      <w:bookmarkStart w:id="310" w:name="_Toc71584604"/>
      <w:bookmarkEnd w:id="310"/>
      <w:bookmarkStart w:id="311" w:name="_Toc75817429"/>
      <w:bookmarkEnd w:id="311"/>
      <w:bookmarkStart w:id="312" w:name="_Toc75817496"/>
      <w:bookmarkEnd w:id="312"/>
      <w:bookmarkStart w:id="313" w:name="_Toc71584605"/>
      <w:bookmarkEnd w:id="313"/>
      <w:bookmarkStart w:id="314" w:name="_Toc75817430"/>
      <w:bookmarkEnd w:id="314"/>
      <w:bookmarkStart w:id="315" w:name="_Toc75817497"/>
      <w:bookmarkEnd w:id="315"/>
      <w:bookmarkStart w:id="316" w:name="_Toc71584606"/>
      <w:bookmarkEnd w:id="316"/>
      <w:bookmarkStart w:id="317" w:name="_Toc75817431"/>
      <w:bookmarkEnd w:id="317"/>
      <w:bookmarkStart w:id="318" w:name="_Toc75817498"/>
      <w:bookmarkEnd w:id="318"/>
      <w:bookmarkStart w:id="319" w:name="_Toc69994266"/>
      <w:bookmarkEnd w:id="319"/>
      <w:bookmarkStart w:id="320" w:name="_Toc69994265"/>
      <w:bookmarkEnd w:id="320"/>
      <w:bookmarkStart w:id="321" w:name="_Toc69994271"/>
      <w:bookmarkEnd w:id="321"/>
      <w:bookmarkStart w:id="322" w:name="_Toc69994267"/>
      <w:bookmarkEnd w:id="322"/>
      <w:bookmarkStart w:id="323" w:name="_Toc69994127"/>
      <w:bookmarkEnd w:id="323"/>
      <w:bookmarkStart w:id="324" w:name="_Toc69994123"/>
      <w:bookmarkEnd w:id="324"/>
      <w:bookmarkStart w:id="325" w:name="_Toc69994125"/>
      <w:bookmarkEnd w:id="325"/>
      <w:bookmarkStart w:id="326" w:name="_Toc69994270"/>
      <w:bookmarkEnd w:id="326"/>
      <w:bookmarkStart w:id="327" w:name="_Toc69994268"/>
      <w:bookmarkEnd w:id="327"/>
      <w:bookmarkStart w:id="328" w:name="_Toc69994269"/>
      <w:bookmarkEnd w:id="328"/>
      <w:bookmarkStart w:id="329" w:name="_Toc69994272"/>
      <w:bookmarkEnd w:id="329"/>
      <w:bookmarkStart w:id="330" w:name="_Toc69994122"/>
      <w:bookmarkEnd w:id="330"/>
      <w:bookmarkStart w:id="331" w:name="_Toc69994121"/>
      <w:bookmarkEnd w:id="331"/>
      <w:bookmarkStart w:id="332" w:name="_Toc69994120"/>
      <w:bookmarkEnd w:id="332"/>
      <w:bookmarkStart w:id="333" w:name="_Toc69994124"/>
      <w:bookmarkEnd w:id="333"/>
      <w:bookmarkStart w:id="334" w:name="_Toc69994126"/>
      <w:bookmarkEnd w:id="334"/>
      <w:bookmarkStart w:id="335" w:name="_Toc75817499"/>
      <w:bookmarkStart w:id="336" w:name="_Toc77932798"/>
      <w:bookmarkStart w:id="337" w:name="_Toc83156839"/>
      <w:bookmarkStart w:id="338" w:name="_Toc83565276"/>
      <w:bookmarkStart w:id="339" w:name="_Toc83634767"/>
      <w:r>
        <w:rPr>
          <w:lang w:bidi="ar"/>
        </w:rPr>
        <w:t>8.3  日常维护</w:t>
      </w:r>
      <w:bookmarkEnd w:id="335"/>
      <w:bookmarkEnd w:id="336"/>
      <w:bookmarkEnd w:id="337"/>
      <w:bookmarkEnd w:id="338"/>
      <w:bookmarkEnd w:id="339"/>
    </w:p>
    <w:p>
      <w:pPr>
        <w:pStyle w:val="56"/>
        <w:ind w:firstLine="640"/>
        <w:rPr>
          <w:rFonts w:cs="Times New Roman"/>
          <w:lang w:bidi="ar"/>
        </w:rPr>
      </w:pPr>
      <w:r>
        <w:rPr>
          <w:rFonts w:cs="Times New Roman"/>
          <w:lang w:bidi="ar"/>
        </w:rPr>
        <w:t>土地使用权人应对标识牌、围挡、地表覆盖材料等</w:t>
      </w:r>
      <w:r>
        <w:rPr>
          <w:rFonts w:hint="eastAsia" w:cs="Times New Roman"/>
          <w:lang w:bidi="ar"/>
        </w:rPr>
        <w:t>管控责任主体</w:t>
      </w:r>
      <w:r>
        <w:rPr>
          <w:rFonts w:cs="Times New Roman"/>
          <w:lang w:bidi="ar"/>
        </w:rPr>
        <w:t>的维护</w:t>
      </w:r>
      <w:r>
        <w:rPr>
          <w:rFonts w:hint="eastAsia" w:cs="Times New Roman"/>
          <w:lang w:bidi="ar"/>
        </w:rPr>
        <w:t>与</w:t>
      </w:r>
      <w:r>
        <w:rPr>
          <w:rFonts w:cs="Times New Roman"/>
          <w:lang w:bidi="ar"/>
        </w:rPr>
        <w:t>管理。</w:t>
      </w:r>
      <w:bookmarkStart w:id="340" w:name="_Hlk69984642"/>
      <w:r>
        <w:rPr>
          <w:rFonts w:cs="Times New Roman"/>
          <w:lang w:bidi="ar"/>
        </w:rPr>
        <w:t>标识牌应保持清晰完整，围挡应确保无损坏、倾斜与缺失，地表覆盖应保持完</w:t>
      </w:r>
      <w:bookmarkEnd w:id="340"/>
      <w:r>
        <w:rPr>
          <w:rFonts w:cs="Times New Roman"/>
          <w:lang w:bidi="ar"/>
        </w:rPr>
        <w:t>好。当发现</w:t>
      </w:r>
      <w:r>
        <w:rPr>
          <w:rFonts w:hint="eastAsia" w:cs="Times New Roman"/>
          <w:lang w:bidi="ar"/>
        </w:rPr>
        <w:t>有</w:t>
      </w:r>
      <w:r>
        <w:rPr>
          <w:rFonts w:cs="Times New Roman"/>
          <w:lang w:bidi="ar"/>
        </w:rPr>
        <w:t>损坏、颜色污染等现象，</w:t>
      </w:r>
      <w:r>
        <w:rPr>
          <w:rFonts w:hint="eastAsia" w:cs="Times New Roman"/>
          <w:lang w:bidi="ar"/>
        </w:rPr>
        <w:t>应</w:t>
      </w:r>
      <w:r>
        <w:rPr>
          <w:rFonts w:cs="Times New Roman"/>
          <w:lang w:bidi="ar"/>
        </w:rPr>
        <w:t>及时修复和更换。阻隔工程完成后，</w:t>
      </w:r>
      <w:r>
        <w:rPr>
          <w:rFonts w:hint="eastAsia" w:cs="Times New Roman"/>
          <w:lang w:bidi="ar"/>
        </w:rPr>
        <w:t>应</w:t>
      </w:r>
      <w:r>
        <w:rPr>
          <w:rFonts w:cs="Times New Roman"/>
          <w:lang w:bidi="ar"/>
        </w:rPr>
        <w:t>根据</w:t>
      </w:r>
      <w:r>
        <w:rPr>
          <w:rFonts w:hint="eastAsia" w:cs="Times New Roman"/>
          <w:lang w:bidi="ar"/>
        </w:rPr>
        <w:t>阻隔</w:t>
      </w:r>
      <w:r>
        <w:rPr>
          <w:rFonts w:cs="Times New Roman"/>
          <w:lang w:bidi="ar"/>
        </w:rPr>
        <w:t>对象和</w:t>
      </w:r>
      <w:r>
        <w:rPr>
          <w:rFonts w:hint="eastAsia" w:cs="Times New Roman"/>
          <w:lang w:bidi="ar"/>
        </w:rPr>
        <w:t>阻隔</w:t>
      </w:r>
      <w:r>
        <w:rPr>
          <w:rFonts w:cs="Times New Roman"/>
          <w:lang w:bidi="ar"/>
        </w:rPr>
        <w:t>工程情况，对</w:t>
      </w:r>
      <w:r>
        <w:rPr>
          <w:rFonts w:hint="eastAsia" w:cs="Times New Roman"/>
          <w:lang w:bidi="ar"/>
        </w:rPr>
        <w:t>工程</w:t>
      </w:r>
      <w:r>
        <w:rPr>
          <w:rFonts w:cs="Times New Roman"/>
          <w:lang w:bidi="ar"/>
        </w:rPr>
        <w:t>设施进行日常维护。</w:t>
      </w:r>
    </w:p>
    <w:p>
      <w:pPr>
        <w:pStyle w:val="69"/>
        <w:numPr>
          <w:ilvl w:val="0"/>
          <w:numId w:val="0"/>
        </w:numPr>
        <w:rPr>
          <w:lang w:bidi="ar"/>
        </w:rPr>
      </w:pPr>
      <w:bookmarkStart w:id="341" w:name="_Toc75817500"/>
      <w:bookmarkStart w:id="342" w:name="_Toc83565277"/>
      <w:bookmarkStart w:id="343" w:name="_Toc83634768"/>
      <w:bookmarkStart w:id="344" w:name="_Toc83156840"/>
      <w:bookmarkStart w:id="345" w:name="_Toc77932799"/>
      <w:r>
        <w:rPr>
          <w:lang w:bidi="ar"/>
        </w:rPr>
        <w:t>8.4  定期</w:t>
      </w:r>
      <w:bookmarkEnd w:id="341"/>
      <w:r>
        <w:rPr>
          <w:lang w:bidi="ar"/>
        </w:rPr>
        <w:t>归档</w:t>
      </w:r>
      <w:bookmarkEnd w:id="342"/>
      <w:bookmarkEnd w:id="343"/>
      <w:bookmarkEnd w:id="344"/>
      <w:bookmarkEnd w:id="345"/>
    </w:p>
    <w:p>
      <w:pPr>
        <w:pStyle w:val="56"/>
        <w:ind w:firstLine="640"/>
        <w:rPr>
          <w:rFonts w:cs="Times New Roman"/>
          <w:lang w:bidi="ar"/>
        </w:rPr>
      </w:pPr>
      <w:r>
        <w:rPr>
          <w:rFonts w:cs="Times New Roman"/>
          <w:lang w:bidi="ar"/>
        </w:rPr>
        <w:t>土地使用权人</w:t>
      </w:r>
      <w:r>
        <w:rPr>
          <w:rFonts w:hint="eastAsia" w:cs="Times New Roman"/>
          <w:lang w:bidi="ar"/>
        </w:rPr>
        <w:t>应</w:t>
      </w:r>
      <w:r>
        <w:rPr>
          <w:rFonts w:cs="Times New Roman"/>
          <w:lang w:bidi="ar"/>
        </w:rPr>
        <w:t>定期汇总地块</w:t>
      </w:r>
      <w:r>
        <w:rPr>
          <w:rFonts w:hint="eastAsia" w:cs="Times New Roman"/>
          <w:lang w:bidi="ar"/>
        </w:rPr>
        <w:t>分级</w:t>
      </w:r>
      <w:r>
        <w:rPr>
          <w:rFonts w:cs="Times New Roman"/>
          <w:lang w:bidi="ar"/>
        </w:rPr>
        <w:t>管控措施</w:t>
      </w:r>
      <w:r>
        <w:rPr>
          <w:rFonts w:hint="eastAsia" w:cs="Times New Roman"/>
          <w:lang w:bidi="ar"/>
        </w:rPr>
        <w:t>的</w:t>
      </w:r>
      <w:r>
        <w:rPr>
          <w:rFonts w:cs="Times New Roman"/>
          <w:lang w:bidi="ar"/>
        </w:rPr>
        <w:t>实施</w:t>
      </w:r>
      <w:r>
        <w:rPr>
          <w:rFonts w:hint="eastAsia" w:cs="Times New Roman"/>
          <w:lang w:bidi="ar"/>
        </w:rPr>
        <w:t>、</w:t>
      </w:r>
      <w:r>
        <w:rPr>
          <w:rFonts w:cs="Times New Roman"/>
          <w:lang w:bidi="ar"/>
        </w:rPr>
        <w:t>维护情况以及</w:t>
      </w:r>
      <w:r>
        <w:rPr>
          <w:rFonts w:hint="eastAsia" w:cs="Times New Roman"/>
          <w:lang w:bidi="ar"/>
        </w:rPr>
        <w:t>环境</w:t>
      </w:r>
      <w:r>
        <w:rPr>
          <w:rFonts w:cs="Times New Roman"/>
          <w:lang w:bidi="ar"/>
        </w:rPr>
        <w:t>监测结果，明确是否存在违规开发和污染现象等，形成档案记录</w:t>
      </w:r>
      <w:r>
        <w:rPr>
          <w:rFonts w:hint="eastAsia" w:cs="Times New Roman"/>
          <w:lang w:bidi="ar"/>
        </w:rPr>
        <w:t>（一</w:t>
      </w:r>
      <w:r>
        <w:rPr>
          <w:rFonts w:cs="Times New Roman"/>
          <w:lang w:bidi="ar"/>
        </w:rPr>
        <w:t>年</w:t>
      </w:r>
      <w:r>
        <w:rPr>
          <w:rFonts w:hint="eastAsia" w:cs="Times New Roman"/>
          <w:lang w:bidi="ar"/>
        </w:rPr>
        <w:t>一</w:t>
      </w:r>
      <w:r>
        <w:rPr>
          <w:rFonts w:cs="Times New Roman"/>
          <w:lang w:bidi="ar"/>
        </w:rPr>
        <w:t>次</w:t>
      </w:r>
      <w:r>
        <w:rPr>
          <w:rFonts w:hint="eastAsia" w:cs="Times New Roman"/>
          <w:lang w:bidi="ar"/>
        </w:rPr>
        <w:t>）</w:t>
      </w:r>
      <w:r>
        <w:rPr>
          <w:rFonts w:cs="Times New Roman"/>
          <w:lang w:bidi="ar"/>
        </w:rPr>
        <w:t>。</w:t>
      </w:r>
    </w:p>
    <w:p>
      <w:pPr>
        <w:pStyle w:val="53"/>
        <w:numPr>
          <w:ilvl w:val="0"/>
          <w:numId w:val="0"/>
        </w:numPr>
        <w:rPr>
          <w:lang w:bidi="ar"/>
        </w:rPr>
      </w:pPr>
      <w:bookmarkStart w:id="346" w:name="_Toc77932800"/>
      <w:bookmarkStart w:id="347" w:name="_Toc83156841"/>
      <w:bookmarkStart w:id="348" w:name="_Toc83634769"/>
      <w:bookmarkStart w:id="349" w:name="_Toc83565278"/>
      <w:r>
        <w:rPr>
          <w:lang w:bidi="ar"/>
        </w:rPr>
        <w:t>9  其他</w:t>
      </w:r>
      <w:bookmarkEnd w:id="346"/>
      <w:bookmarkEnd w:id="347"/>
      <w:bookmarkEnd w:id="348"/>
      <w:bookmarkEnd w:id="349"/>
    </w:p>
    <w:p>
      <w:pPr>
        <w:pStyle w:val="56"/>
        <w:ind w:firstLine="640"/>
        <w:rPr>
          <w:rFonts w:cs="Times New Roman"/>
          <w:lang w:bidi="ar"/>
        </w:rPr>
        <w:sectPr>
          <w:footerReference r:id="rId5" w:type="default"/>
          <w:footerReference r:id="rId6" w:type="even"/>
          <w:pgSz w:w="11906" w:h="16838"/>
          <w:pgMar w:top="1440" w:right="1800" w:bottom="1440" w:left="1800" w:header="851" w:footer="992" w:gutter="0"/>
          <w:pgNumType w:fmt="numberInDash" w:start="1"/>
          <w:cols w:space="720" w:num="1"/>
          <w:docGrid w:type="lines" w:linePitch="326" w:charSpace="0"/>
        </w:sectPr>
      </w:pPr>
      <w:bookmarkStart w:id="350" w:name="_Hlk78379126"/>
      <w:r>
        <w:rPr>
          <w:rFonts w:hint="eastAsia" w:cs="Times New Roman"/>
          <w:lang w:bidi="ar"/>
        </w:rPr>
        <w:t>对于</w:t>
      </w:r>
      <w:r>
        <w:rPr>
          <w:rFonts w:cs="Times New Roman"/>
          <w:lang w:bidi="ar"/>
        </w:rPr>
        <w:t>暂不开发利用地块</w:t>
      </w:r>
      <w:r>
        <w:rPr>
          <w:rFonts w:hint="eastAsia" w:cs="Times New Roman"/>
          <w:lang w:bidi="ar"/>
        </w:rPr>
        <w:t>变更为</w:t>
      </w:r>
      <w:r>
        <w:rPr>
          <w:rFonts w:cs="Times New Roman"/>
          <w:lang w:bidi="ar"/>
        </w:rPr>
        <w:t>拟再开发</w:t>
      </w:r>
      <w:r>
        <w:rPr>
          <w:rFonts w:hint="eastAsia" w:cs="Times New Roman"/>
          <w:lang w:bidi="ar"/>
        </w:rPr>
        <w:t>利用地块</w:t>
      </w:r>
      <w:r>
        <w:rPr>
          <w:rFonts w:cs="Times New Roman"/>
          <w:lang w:bidi="ar"/>
        </w:rPr>
        <w:t>的</w:t>
      </w:r>
      <w:bookmarkEnd w:id="350"/>
      <w:r>
        <w:rPr>
          <w:rFonts w:cs="Times New Roman"/>
          <w:lang w:bidi="ar"/>
        </w:rPr>
        <w:t>，</w:t>
      </w:r>
      <w:r>
        <w:rPr>
          <w:rFonts w:hint="eastAsia" w:cs="Times New Roman"/>
          <w:lang w:bidi="ar"/>
        </w:rPr>
        <w:t>移</w:t>
      </w:r>
      <w:r>
        <w:rPr>
          <w:rFonts w:cs="Times New Roman"/>
          <w:lang w:bidi="ar"/>
        </w:rPr>
        <w:t>出暂不开发利用地块清单，进入</w:t>
      </w:r>
      <w:r>
        <w:rPr>
          <w:rFonts w:hint="eastAsia" w:cs="Times New Roman"/>
          <w:lang w:bidi="ar"/>
        </w:rPr>
        <w:t>拟</w:t>
      </w:r>
      <w:r>
        <w:rPr>
          <w:rFonts w:cs="Times New Roman"/>
          <w:lang w:bidi="ar"/>
        </w:rPr>
        <w:t>再开发利用</w:t>
      </w:r>
      <w:r>
        <w:rPr>
          <w:rFonts w:hint="eastAsia" w:cs="Times New Roman"/>
          <w:lang w:bidi="ar"/>
        </w:rPr>
        <w:t>地块土壤污染防治管理工作流程</w:t>
      </w:r>
      <w:r>
        <w:rPr>
          <w:rFonts w:cs="Times New Roman"/>
          <w:lang w:bidi="ar"/>
        </w:rPr>
        <w:t>，</w:t>
      </w:r>
      <w:r>
        <w:rPr>
          <w:rFonts w:hint="eastAsia" w:cs="Times New Roman"/>
          <w:lang w:bidi="ar"/>
        </w:rPr>
        <w:t>按照</w:t>
      </w:r>
      <w:r>
        <w:rPr>
          <w:rFonts w:cs="Times New Roman"/>
          <w:lang w:bidi="ar"/>
        </w:rPr>
        <w:t>《韶关市拟再开发利用地块土壤污染防治管理工作指南》开展土壤</w:t>
      </w:r>
      <w:r>
        <w:rPr>
          <w:rFonts w:hint="eastAsia" w:cs="Times New Roman"/>
          <w:lang w:bidi="ar"/>
        </w:rPr>
        <w:t>和</w:t>
      </w:r>
      <w:r>
        <w:rPr>
          <w:rFonts w:cs="Times New Roman"/>
          <w:lang w:bidi="ar"/>
        </w:rPr>
        <w:t>地下水环境调查、风险评估、治理修复</w:t>
      </w:r>
      <w:r>
        <w:rPr>
          <w:rFonts w:hint="eastAsia" w:cs="Times New Roman"/>
          <w:lang w:bidi="ar"/>
        </w:rPr>
        <w:t>、</w:t>
      </w:r>
      <w:r>
        <w:rPr>
          <w:rFonts w:cs="Times New Roman"/>
          <w:lang w:bidi="ar"/>
        </w:rPr>
        <w:t>效果评估等</w:t>
      </w:r>
      <w:r>
        <w:rPr>
          <w:rFonts w:hint="eastAsia" w:cs="Times New Roman"/>
          <w:lang w:bidi="ar"/>
        </w:rPr>
        <w:t>工作。</w:t>
      </w:r>
    </w:p>
    <w:p>
      <w:pPr>
        <w:adjustRightInd/>
        <w:spacing w:line="360" w:lineRule="auto"/>
        <w:outlineLvl w:val="0"/>
        <w:rPr>
          <w:rFonts w:hint="eastAsia" w:ascii="Times New Roman" w:hAnsi="Times New Roman" w:eastAsia="黑体" w:cs="Times New Roman"/>
          <w:color w:val="000000"/>
          <w:kern w:val="0"/>
          <w:sz w:val="32"/>
          <w:szCs w:val="32"/>
          <w:lang w:bidi="ar"/>
        </w:rPr>
      </w:pPr>
      <w:bookmarkStart w:id="351" w:name="_Toc83565280"/>
      <w:bookmarkStart w:id="352" w:name="_Toc83634771"/>
      <w:bookmarkStart w:id="353" w:name="_Toc83156843"/>
      <w:r>
        <w:rPr>
          <w:rFonts w:ascii="Times New Roman" w:hAnsi="Times New Roman" w:eastAsia="黑体" w:cs="Times New Roman"/>
          <w:color w:val="000000"/>
          <w:kern w:val="0"/>
          <w:sz w:val="32"/>
          <w:szCs w:val="32"/>
          <w:lang w:bidi="ar"/>
        </w:rPr>
        <w:t>附录</w:t>
      </w:r>
      <w:r>
        <w:rPr>
          <w:rFonts w:hint="eastAsia" w:ascii="Times New Roman" w:hAnsi="Times New Roman" w:eastAsia="黑体" w:cs="Times New Roman"/>
          <w:color w:val="000000"/>
          <w:kern w:val="0"/>
          <w:sz w:val="32"/>
          <w:szCs w:val="32"/>
          <w:lang w:bidi="ar"/>
        </w:rPr>
        <w:t>A</w:t>
      </w:r>
      <w:r>
        <w:rPr>
          <w:rFonts w:ascii="Times New Roman" w:hAnsi="Times New Roman" w:eastAsia="黑体" w:cs="Times New Roman"/>
          <w:color w:val="000000"/>
          <w:kern w:val="0"/>
          <w:sz w:val="32"/>
          <w:szCs w:val="32"/>
          <w:lang w:bidi="ar"/>
        </w:rPr>
        <w:t xml:space="preserve"> 收集资料部门及内容表</w:t>
      </w:r>
      <w:bookmarkEnd w:id="351"/>
      <w:bookmarkEnd w:id="352"/>
      <w:bookmarkEnd w:id="353"/>
    </w:p>
    <w:tbl>
      <w:tblPr>
        <w:tblStyle w:val="38"/>
        <w:tblW w:w="8318"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99"/>
        <w:gridCol w:w="2074"/>
        <w:gridCol w:w="524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9" w:type="dxa"/>
            <w:vAlign w:val="center"/>
          </w:tcPr>
          <w:p>
            <w:pPr>
              <w:pStyle w:val="134"/>
              <w:adjustRightInd w:val="0"/>
              <w:snapToGrid w:val="0"/>
              <w:spacing w:line="440" w:lineRule="exact"/>
            </w:pPr>
            <w:r>
              <w:t>序号</w:t>
            </w:r>
          </w:p>
        </w:tc>
        <w:tc>
          <w:tcPr>
            <w:tcW w:w="2074" w:type="dxa"/>
            <w:vAlign w:val="center"/>
          </w:tcPr>
          <w:p>
            <w:pPr>
              <w:pStyle w:val="134"/>
              <w:adjustRightInd w:val="0"/>
              <w:snapToGrid w:val="0"/>
              <w:spacing w:line="440" w:lineRule="exact"/>
            </w:pPr>
            <w:r>
              <w:t>部门</w:t>
            </w:r>
          </w:p>
        </w:tc>
        <w:tc>
          <w:tcPr>
            <w:tcW w:w="5245" w:type="dxa"/>
            <w:vAlign w:val="center"/>
          </w:tcPr>
          <w:p>
            <w:pPr>
              <w:pStyle w:val="134"/>
              <w:adjustRightInd w:val="0"/>
              <w:snapToGrid w:val="0"/>
              <w:spacing w:line="440" w:lineRule="exact"/>
            </w:pPr>
            <w:r>
              <w:t>资料名称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9" w:type="dxa"/>
            <w:vAlign w:val="center"/>
          </w:tcPr>
          <w:p>
            <w:pPr>
              <w:pStyle w:val="134"/>
              <w:adjustRightInd w:val="0"/>
              <w:snapToGrid w:val="0"/>
              <w:spacing w:line="440" w:lineRule="exact"/>
            </w:pPr>
            <w:r>
              <w:t>1</w:t>
            </w:r>
          </w:p>
        </w:tc>
        <w:tc>
          <w:tcPr>
            <w:tcW w:w="2074" w:type="dxa"/>
            <w:vAlign w:val="center"/>
          </w:tcPr>
          <w:p>
            <w:pPr>
              <w:pStyle w:val="134"/>
              <w:adjustRightInd w:val="0"/>
              <w:snapToGrid w:val="0"/>
              <w:spacing w:line="440" w:lineRule="exact"/>
            </w:pPr>
            <w:r>
              <w:t>市生态环境局</w:t>
            </w:r>
          </w:p>
        </w:tc>
        <w:tc>
          <w:tcPr>
            <w:tcW w:w="5245" w:type="dxa"/>
            <w:vAlign w:val="center"/>
          </w:tcPr>
          <w:p>
            <w:pPr>
              <w:pStyle w:val="134"/>
              <w:adjustRightInd w:val="0"/>
              <w:snapToGrid w:val="0"/>
              <w:spacing w:line="440" w:lineRule="exact"/>
              <w:jc w:val="both"/>
            </w:pPr>
            <w:r>
              <w:t>重点行业企业土壤污染状况调查成果；土壤污染重点监管单位名单；其他相关资料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9" w:type="dxa"/>
            <w:vAlign w:val="center"/>
          </w:tcPr>
          <w:p>
            <w:pPr>
              <w:pStyle w:val="134"/>
              <w:adjustRightInd w:val="0"/>
              <w:snapToGrid w:val="0"/>
              <w:spacing w:line="440" w:lineRule="exact"/>
            </w:pPr>
            <w:r>
              <w:t>2</w:t>
            </w:r>
          </w:p>
        </w:tc>
        <w:tc>
          <w:tcPr>
            <w:tcW w:w="2074" w:type="dxa"/>
            <w:vAlign w:val="center"/>
          </w:tcPr>
          <w:p>
            <w:pPr>
              <w:pStyle w:val="134"/>
              <w:adjustRightInd w:val="0"/>
              <w:snapToGrid w:val="0"/>
              <w:spacing w:line="440" w:lineRule="exact"/>
            </w:pPr>
            <w:r>
              <w:t>市自然资源局</w:t>
            </w:r>
          </w:p>
        </w:tc>
        <w:tc>
          <w:tcPr>
            <w:tcW w:w="5245" w:type="dxa"/>
            <w:vAlign w:val="center"/>
          </w:tcPr>
          <w:p>
            <w:pPr>
              <w:pStyle w:val="134"/>
              <w:adjustRightInd w:val="0"/>
              <w:snapToGrid w:val="0"/>
              <w:spacing w:line="440" w:lineRule="exact"/>
              <w:jc w:val="both"/>
            </w:pPr>
            <w:r>
              <w:t>年度土地储备计划；建设用地供应计划；城市更新单元划定方案；用途拟变更为住宅、公共管理与公共服务用地的地块信息；土壤污染重点监管单位生产经营用地用途变更或土地使用权收回、转让信息；其他相关资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9" w:type="dxa"/>
            <w:vAlign w:val="center"/>
          </w:tcPr>
          <w:p>
            <w:pPr>
              <w:pStyle w:val="134"/>
              <w:adjustRightInd w:val="0"/>
              <w:snapToGrid w:val="0"/>
              <w:spacing w:line="440" w:lineRule="exact"/>
            </w:pPr>
            <w:r>
              <w:t>3</w:t>
            </w:r>
          </w:p>
        </w:tc>
        <w:tc>
          <w:tcPr>
            <w:tcW w:w="2074" w:type="dxa"/>
            <w:vAlign w:val="center"/>
          </w:tcPr>
          <w:p>
            <w:pPr>
              <w:pStyle w:val="134"/>
              <w:adjustRightInd w:val="0"/>
              <w:snapToGrid w:val="0"/>
              <w:spacing w:line="440" w:lineRule="exact"/>
            </w:pPr>
            <w:r>
              <w:t>市市场监督管理局</w:t>
            </w:r>
          </w:p>
          <w:p>
            <w:pPr>
              <w:pStyle w:val="134"/>
              <w:adjustRightInd w:val="0"/>
              <w:snapToGrid w:val="0"/>
              <w:spacing w:line="440" w:lineRule="exact"/>
            </w:pPr>
            <w:r>
              <w:t>市工业和信息化局</w:t>
            </w:r>
          </w:p>
        </w:tc>
        <w:tc>
          <w:tcPr>
            <w:tcW w:w="5245" w:type="dxa"/>
            <w:vAlign w:val="center"/>
          </w:tcPr>
          <w:p>
            <w:pPr>
              <w:pStyle w:val="134"/>
              <w:adjustRightInd w:val="0"/>
              <w:snapToGrid w:val="0"/>
              <w:spacing w:line="440" w:lineRule="exact"/>
              <w:jc w:val="both"/>
            </w:pPr>
            <w:r>
              <w:t>企事业单位注销信息；其他相关资料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9" w:type="dxa"/>
            <w:vAlign w:val="center"/>
          </w:tcPr>
          <w:p>
            <w:pPr>
              <w:pStyle w:val="134"/>
              <w:adjustRightInd w:val="0"/>
              <w:snapToGrid w:val="0"/>
              <w:spacing w:line="440" w:lineRule="exact"/>
            </w:pPr>
            <w:r>
              <w:t>4</w:t>
            </w:r>
          </w:p>
        </w:tc>
        <w:tc>
          <w:tcPr>
            <w:tcW w:w="2074" w:type="dxa"/>
            <w:vAlign w:val="center"/>
          </w:tcPr>
          <w:p>
            <w:pPr>
              <w:pStyle w:val="134"/>
              <w:adjustRightInd w:val="0"/>
              <w:snapToGrid w:val="0"/>
              <w:spacing w:line="440" w:lineRule="exact"/>
            </w:pPr>
            <w:r>
              <w:t>土地使用权人</w:t>
            </w:r>
          </w:p>
        </w:tc>
        <w:tc>
          <w:tcPr>
            <w:tcW w:w="5245" w:type="dxa"/>
            <w:vAlign w:val="center"/>
          </w:tcPr>
          <w:p>
            <w:pPr>
              <w:pStyle w:val="134"/>
              <w:adjustRightInd w:val="0"/>
              <w:snapToGrid w:val="0"/>
              <w:spacing w:line="440" w:lineRule="exact"/>
              <w:jc w:val="both"/>
            </w:pPr>
            <w:r>
              <w:t>根据《重点行业企业用地调查信息采集技术规定（试行）》填报基础信息收集表；其他相关资料</w:t>
            </w:r>
          </w:p>
        </w:tc>
      </w:tr>
    </w:tbl>
    <w:p>
      <w:pPr>
        <w:snapToGrid w:val="0"/>
        <w:spacing w:before="326" w:beforeLines="100" w:after="326" w:afterLines="100"/>
        <w:jc w:val="center"/>
        <w:outlineLvl w:val="0"/>
        <w:rPr>
          <w:rFonts w:ascii="Times New Roman" w:hAnsi="Times New Roman" w:eastAsia="黑体" w:cs="Times New Roman"/>
          <w:color w:val="000000"/>
          <w:kern w:val="0"/>
          <w:sz w:val="32"/>
          <w:szCs w:val="32"/>
          <w:lang w:bidi="ar"/>
        </w:rPr>
        <w:sectPr>
          <w:footerReference r:id="rId7" w:type="default"/>
          <w:pgSz w:w="11906" w:h="16838"/>
          <w:pgMar w:top="1440" w:right="1800" w:bottom="1440" w:left="1800" w:header="851" w:footer="992" w:gutter="0"/>
          <w:pgNumType w:fmt="numberInDash"/>
          <w:cols w:space="720" w:num="1"/>
          <w:docGrid w:type="lines" w:linePitch="326" w:charSpace="0"/>
        </w:sectPr>
      </w:pPr>
    </w:p>
    <w:p>
      <w:pPr>
        <w:spacing w:line="360" w:lineRule="auto"/>
        <w:outlineLvl w:val="0"/>
        <w:rPr>
          <w:rFonts w:hint="eastAsia" w:ascii="Times New Roman" w:hAnsi="Times New Roman" w:eastAsia="黑体" w:cs="Times New Roman"/>
          <w:color w:val="000000"/>
          <w:kern w:val="0"/>
          <w:sz w:val="32"/>
          <w:szCs w:val="32"/>
          <w:lang w:bidi="ar"/>
        </w:rPr>
      </w:pPr>
      <w:bookmarkStart w:id="354" w:name="_Toc83565281"/>
      <w:bookmarkStart w:id="355" w:name="_Toc83156844"/>
      <w:bookmarkStart w:id="356" w:name="_Toc83634772"/>
      <w:r>
        <w:rPr>
          <w:rFonts w:ascii="Times New Roman" w:hAnsi="Times New Roman" w:eastAsia="黑体" w:cs="Times New Roman"/>
          <w:color w:val="000000"/>
          <w:kern w:val="0"/>
          <w:sz w:val="32"/>
          <w:szCs w:val="32"/>
          <w:lang w:bidi="ar"/>
        </w:rPr>
        <w:t>附录</w:t>
      </w:r>
      <w:r>
        <w:rPr>
          <w:rFonts w:hint="eastAsia" w:ascii="Times New Roman" w:hAnsi="Times New Roman" w:eastAsia="黑体" w:cs="Times New Roman"/>
          <w:color w:val="000000"/>
          <w:kern w:val="0"/>
          <w:sz w:val="32"/>
          <w:szCs w:val="32"/>
          <w:lang w:bidi="ar"/>
        </w:rPr>
        <w:t>B</w:t>
      </w:r>
      <w:r>
        <w:rPr>
          <w:rFonts w:ascii="Times New Roman" w:hAnsi="Times New Roman" w:eastAsia="黑体" w:cs="Times New Roman"/>
          <w:color w:val="000000"/>
          <w:kern w:val="0"/>
          <w:sz w:val="32"/>
          <w:szCs w:val="32"/>
          <w:lang w:bidi="ar"/>
        </w:rPr>
        <w:t xml:space="preserve"> （资料性附录）韶关市暂不开发利用地块清单（模板）</w:t>
      </w:r>
      <w:bookmarkEnd w:id="354"/>
      <w:bookmarkEnd w:id="355"/>
      <w:bookmarkEnd w:id="356"/>
    </w:p>
    <w:tbl>
      <w:tblPr>
        <w:tblStyle w:val="38"/>
        <w:tblW w:w="8317"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99"/>
        <w:gridCol w:w="708"/>
        <w:gridCol w:w="709"/>
        <w:gridCol w:w="709"/>
        <w:gridCol w:w="709"/>
        <w:gridCol w:w="850"/>
        <w:gridCol w:w="1640"/>
        <w:gridCol w:w="199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9" w:type="dxa"/>
            <w:vAlign w:val="center"/>
          </w:tcPr>
          <w:p>
            <w:pPr>
              <w:pStyle w:val="127"/>
              <w:adjustRightInd/>
              <w:spacing w:line="440" w:lineRule="exact"/>
              <w:jc w:val="center"/>
              <w:rPr>
                <w:rFonts w:ascii="Times New Roman" w:hAnsi="Times New Roman" w:cs="Times New Roman"/>
                <w:sz w:val="21"/>
                <w:szCs w:val="21"/>
              </w:rPr>
            </w:pPr>
            <w:r>
              <w:rPr>
                <w:rFonts w:ascii="Times New Roman" w:hAnsi="Times New Roman" w:cs="Times New Roman"/>
                <w:sz w:val="21"/>
                <w:szCs w:val="21"/>
              </w:rPr>
              <w:t>序号</w:t>
            </w:r>
          </w:p>
        </w:tc>
        <w:tc>
          <w:tcPr>
            <w:tcW w:w="708" w:type="dxa"/>
            <w:vAlign w:val="center"/>
          </w:tcPr>
          <w:p>
            <w:pPr>
              <w:pStyle w:val="127"/>
              <w:adjustRightInd/>
              <w:spacing w:line="440" w:lineRule="exact"/>
              <w:jc w:val="center"/>
              <w:rPr>
                <w:rFonts w:ascii="Times New Roman" w:hAnsi="Times New Roman" w:cs="Times New Roman"/>
                <w:sz w:val="21"/>
                <w:szCs w:val="21"/>
              </w:rPr>
            </w:pPr>
            <w:r>
              <w:rPr>
                <w:rFonts w:ascii="Times New Roman" w:hAnsi="Times New Roman" w:cs="Times New Roman"/>
                <w:sz w:val="21"/>
                <w:szCs w:val="21"/>
              </w:rPr>
              <w:t>行政区域</w:t>
            </w:r>
          </w:p>
        </w:tc>
        <w:tc>
          <w:tcPr>
            <w:tcW w:w="709" w:type="dxa"/>
            <w:vAlign w:val="center"/>
          </w:tcPr>
          <w:p>
            <w:pPr>
              <w:pStyle w:val="127"/>
              <w:adjustRightInd/>
              <w:spacing w:line="440" w:lineRule="exact"/>
              <w:jc w:val="center"/>
              <w:rPr>
                <w:rFonts w:ascii="Times New Roman" w:hAnsi="Times New Roman" w:cs="Times New Roman"/>
                <w:sz w:val="21"/>
                <w:szCs w:val="21"/>
              </w:rPr>
            </w:pPr>
            <w:r>
              <w:rPr>
                <w:rFonts w:ascii="Times New Roman" w:hAnsi="Times New Roman" w:cs="Times New Roman"/>
                <w:sz w:val="21"/>
                <w:szCs w:val="21"/>
              </w:rPr>
              <w:t>地块名称</w:t>
            </w:r>
          </w:p>
        </w:tc>
        <w:tc>
          <w:tcPr>
            <w:tcW w:w="709" w:type="dxa"/>
            <w:vAlign w:val="center"/>
          </w:tcPr>
          <w:p>
            <w:pPr>
              <w:pStyle w:val="127"/>
              <w:adjustRightInd/>
              <w:spacing w:line="440" w:lineRule="exact"/>
              <w:jc w:val="center"/>
              <w:rPr>
                <w:rFonts w:ascii="Times New Roman" w:hAnsi="Times New Roman" w:cs="Times New Roman"/>
                <w:sz w:val="21"/>
                <w:szCs w:val="21"/>
              </w:rPr>
            </w:pPr>
            <w:r>
              <w:rPr>
                <w:rFonts w:ascii="Times New Roman" w:hAnsi="Times New Roman" w:cs="Times New Roman"/>
                <w:sz w:val="21"/>
                <w:szCs w:val="21"/>
              </w:rPr>
              <w:t>地块面积</w:t>
            </w:r>
          </w:p>
        </w:tc>
        <w:tc>
          <w:tcPr>
            <w:tcW w:w="709" w:type="dxa"/>
            <w:vAlign w:val="center"/>
          </w:tcPr>
          <w:p>
            <w:pPr>
              <w:pStyle w:val="127"/>
              <w:adjustRightInd/>
              <w:spacing w:line="440" w:lineRule="exact"/>
              <w:jc w:val="center"/>
              <w:rPr>
                <w:rFonts w:ascii="Times New Roman" w:hAnsi="Times New Roman" w:cs="Times New Roman"/>
                <w:sz w:val="21"/>
                <w:szCs w:val="21"/>
              </w:rPr>
            </w:pPr>
            <w:r>
              <w:rPr>
                <w:rFonts w:ascii="Times New Roman" w:hAnsi="Times New Roman" w:cs="Times New Roman"/>
                <w:sz w:val="21"/>
                <w:szCs w:val="21"/>
              </w:rPr>
              <w:t>所属行业</w:t>
            </w:r>
          </w:p>
        </w:tc>
        <w:tc>
          <w:tcPr>
            <w:tcW w:w="850" w:type="dxa"/>
            <w:vAlign w:val="center"/>
          </w:tcPr>
          <w:p>
            <w:pPr>
              <w:pStyle w:val="127"/>
              <w:adjustRightInd/>
              <w:spacing w:line="440" w:lineRule="exact"/>
              <w:jc w:val="center"/>
              <w:rPr>
                <w:rFonts w:ascii="Times New Roman" w:hAnsi="Times New Roman" w:cs="Times New Roman"/>
                <w:sz w:val="21"/>
                <w:szCs w:val="21"/>
              </w:rPr>
            </w:pPr>
            <w:r>
              <w:rPr>
                <w:rFonts w:ascii="Times New Roman" w:hAnsi="Times New Roman" w:cs="Times New Roman"/>
                <w:sz w:val="21"/>
                <w:szCs w:val="21"/>
              </w:rPr>
              <w:t>土地使用权人</w:t>
            </w:r>
          </w:p>
        </w:tc>
        <w:tc>
          <w:tcPr>
            <w:tcW w:w="1640" w:type="dxa"/>
            <w:vAlign w:val="center"/>
          </w:tcPr>
          <w:p>
            <w:pPr>
              <w:pStyle w:val="127"/>
              <w:adjustRightInd/>
              <w:spacing w:line="440" w:lineRule="exact"/>
              <w:jc w:val="center"/>
              <w:rPr>
                <w:rFonts w:ascii="Times New Roman" w:hAnsi="Times New Roman" w:cs="Times New Roman"/>
                <w:sz w:val="21"/>
                <w:szCs w:val="21"/>
              </w:rPr>
            </w:pPr>
            <w:r>
              <w:rPr>
                <w:rFonts w:ascii="Times New Roman" w:hAnsi="Times New Roman" w:cs="Times New Roman"/>
                <w:sz w:val="21"/>
                <w:szCs w:val="21"/>
              </w:rPr>
              <w:t>具体位置</w:t>
            </w:r>
          </w:p>
          <w:p>
            <w:pPr>
              <w:pStyle w:val="127"/>
              <w:adjustRightInd/>
              <w:spacing w:line="440" w:lineRule="exact"/>
              <w:jc w:val="center"/>
              <w:rPr>
                <w:rFonts w:ascii="Times New Roman" w:hAnsi="Times New Roman" w:cs="Times New Roman"/>
                <w:sz w:val="21"/>
                <w:szCs w:val="21"/>
              </w:rPr>
            </w:pPr>
            <w:r>
              <w:rPr>
                <w:rFonts w:ascii="Times New Roman" w:hAnsi="Times New Roman" w:cs="Times New Roman"/>
                <w:sz w:val="21"/>
                <w:szCs w:val="21"/>
              </w:rPr>
              <w:t>（经纬度坐标）</w:t>
            </w:r>
          </w:p>
        </w:tc>
        <w:tc>
          <w:tcPr>
            <w:tcW w:w="1993" w:type="dxa"/>
            <w:vAlign w:val="center"/>
          </w:tcPr>
          <w:p>
            <w:pPr>
              <w:pStyle w:val="127"/>
              <w:adjustRightInd/>
              <w:spacing w:line="440" w:lineRule="exact"/>
              <w:jc w:val="center"/>
              <w:rPr>
                <w:rFonts w:ascii="Times New Roman" w:hAnsi="Times New Roman" w:cs="Times New Roman"/>
                <w:sz w:val="21"/>
                <w:szCs w:val="21"/>
              </w:rPr>
            </w:pPr>
            <w:r>
              <w:rPr>
                <w:rFonts w:ascii="Times New Roman" w:hAnsi="Times New Roman" w:cs="Times New Roman"/>
                <w:sz w:val="21"/>
                <w:szCs w:val="21"/>
              </w:rPr>
              <w:t>备注</w:t>
            </w:r>
          </w:p>
          <w:p>
            <w:pPr>
              <w:pStyle w:val="127"/>
              <w:adjustRightInd/>
              <w:spacing w:line="440" w:lineRule="exact"/>
              <w:jc w:val="center"/>
              <w:rPr>
                <w:rFonts w:ascii="Times New Roman" w:hAnsi="Times New Roman" w:cs="Times New Roman"/>
                <w:sz w:val="21"/>
                <w:szCs w:val="21"/>
              </w:rPr>
            </w:pPr>
            <w:r>
              <w:rPr>
                <w:rFonts w:ascii="Times New Roman" w:hAnsi="Times New Roman" w:cs="Times New Roman"/>
                <w:sz w:val="21"/>
                <w:szCs w:val="21"/>
              </w:rPr>
              <w:t>（发布、新增日期）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9" w:type="dxa"/>
            <w:vAlign w:val="center"/>
          </w:tcPr>
          <w:p>
            <w:pPr>
              <w:pStyle w:val="127"/>
              <w:adjustRightInd/>
              <w:spacing w:line="440" w:lineRule="exact"/>
              <w:jc w:val="center"/>
              <w:rPr>
                <w:rFonts w:ascii="Times New Roman" w:hAnsi="Times New Roman" w:cs="Times New Roman"/>
                <w:sz w:val="21"/>
                <w:szCs w:val="21"/>
              </w:rPr>
            </w:pPr>
            <w:r>
              <w:rPr>
                <w:rFonts w:ascii="Times New Roman" w:hAnsi="Times New Roman" w:cs="Times New Roman"/>
                <w:sz w:val="21"/>
                <w:szCs w:val="21"/>
              </w:rPr>
              <w:t>1</w:t>
            </w:r>
          </w:p>
        </w:tc>
        <w:tc>
          <w:tcPr>
            <w:tcW w:w="708" w:type="dxa"/>
            <w:vAlign w:val="center"/>
          </w:tcPr>
          <w:p>
            <w:pPr>
              <w:pStyle w:val="127"/>
              <w:adjustRightInd/>
              <w:spacing w:line="440" w:lineRule="exact"/>
              <w:jc w:val="center"/>
              <w:rPr>
                <w:rFonts w:ascii="Times New Roman" w:hAnsi="Times New Roman" w:cs="Times New Roman"/>
                <w:sz w:val="21"/>
                <w:szCs w:val="21"/>
              </w:rPr>
            </w:pPr>
          </w:p>
        </w:tc>
        <w:tc>
          <w:tcPr>
            <w:tcW w:w="709" w:type="dxa"/>
            <w:vAlign w:val="center"/>
          </w:tcPr>
          <w:p>
            <w:pPr>
              <w:pStyle w:val="127"/>
              <w:adjustRightInd/>
              <w:spacing w:line="440" w:lineRule="exact"/>
              <w:jc w:val="center"/>
              <w:rPr>
                <w:rFonts w:ascii="Times New Roman" w:hAnsi="Times New Roman" w:cs="Times New Roman"/>
                <w:sz w:val="21"/>
                <w:szCs w:val="21"/>
              </w:rPr>
            </w:pPr>
          </w:p>
        </w:tc>
        <w:tc>
          <w:tcPr>
            <w:tcW w:w="709" w:type="dxa"/>
            <w:vAlign w:val="center"/>
          </w:tcPr>
          <w:p>
            <w:pPr>
              <w:pStyle w:val="127"/>
              <w:adjustRightInd/>
              <w:spacing w:line="440" w:lineRule="exact"/>
              <w:jc w:val="center"/>
              <w:rPr>
                <w:rFonts w:ascii="Times New Roman" w:hAnsi="Times New Roman" w:cs="Times New Roman"/>
                <w:sz w:val="21"/>
                <w:szCs w:val="21"/>
              </w:rPr>
            </w:pPr>
          </w:p>
        </w:tc>
        <w:tc>
          <w:tcPr>
            <w:tcW w:w="709" w:type="dxa"/>
            <w:vAlign w:val="center"/>
          </w:tcPr>
          <w:p>
            <w:pPr>
              <w:pStyle w:val="127"/>
              <w:adjustRightInd/>
              <w:spacing w:line="440" w:lineRule="exact"/>
              <w:jc w:val="center"/>
              <w:rPr>
                <w:rFonts w:ascii="Times New Roman" w:hAnsi="Times New Roman" w:cs="Times New Roman"/>
                <w:sz w:val="21"/>
                <w:szCs w:val="21"/>
              </w:rPr>
            </w:pPr>
          </w:p>
        </w:tc>
        <w:tc>
          <w:tcPr>
            <w:tcW w:w="850" w:type="dxa"/>
            <w:vAlign w:val="center"/>
          </w:tcPr>
          <w:p>
            <w:pPr>
              <w:pStyle w:val="127"/>
              <w:adjustRightInd/>
              <w:spacing w:line="440" w:lineRule="exact"/>
              <w:jc w:val="center"/>
              <w:rPr>
                <w:rFonts w:ascii="Times New Roman" w:hAnsi="Times New Roman" w:cs="Times New Roman"/>
                <w:sz w:val="21"/>
                <w:szCs w:val="21"/>
              </w:rPr>
            </w:pPr>
          </w:p>
        </w:tc>
        <w:tc>
          <w:tcPr>
            <w:tcW w:w="1640" w:type="dxa"/>
            <w:vAlign w:val="center"/>
          </w:tcPr>
          <w:p>
            <w:pPr>
              <w:pStyle w:val="127"/>
              <w:adjustRightInd/>
              <w:spacing w:line="440" w:lineRule="exact"/>
              <w:jc w:val="center"/>
              <w:rPr>
                <w:rFonts w:ascii="Times New Roman" w:hAnsi="Times New Roman" w:cs="Times New Roman"/>
                <w:sz w:val="21"/>
                <w:szCs w:val="21"/>
              </w:rPr>
            </w:pPr>
          </w:p>
        </w:tc>
        <w:tc>
          <w:tcPr>
            <w:tcW w:w="1993" w:type="dxa"/>
            <w:vAlign w:val="center"/>
          </w:tcPr>
          <w:p>
            <w:pPr>
              <w:pStyle w:val="127"/>
              <w:adjustRightInd/>
              <w:spacing w:line="440" w:lineRule="exact"/>
              <w:jc w:val="center"/>
              <w:rPr>
                <w:rFonts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9" w:type="dxa"/>
            <w:vAlign w:val="center"/>
          </w:tcPr>
          <w:p>
            <w:pPr>
              <w:pStyle w:val="127"/>
              <w:adjustRightInd/>
              <w:spacing w:line="440" w:lineRule="exact"/>
              <w:jc w:val="center"/>
              <w:rPr>
                <w:rFonts w:ascii="Times New Roman" w:hAnsi="Times New Roman" w:cs="Times New Roman"/>
                <w:sz w:val="21"/>
                <w:szCs w:val="21"/>
              </w:rPr>
            </w:pPr>
            <w:r>
              <w:rPr>
                <w:rFonts w:ascii="Times New Roman" w:hAnsi="Times New Roman" w:cs="Times New Roman"/>
                <w:sz w:val="21"/>
                <w:szCs w:val="21"/>
              </w:rPr>
              <w:t>2</w:t>
            </w:r>
          </w:p>
        </w:tc>
        <w:tc>
          <w:tcPr>
            <w:tcW w:w="708" w:type="dxa"/>
            <w:vAlign w:val="center"/>
          </w:tcPr>
          <w:p>
            <w:pPr>
              <w:pStyle w:val="127"/>
              <w:adjustRightInd/>
              <w:spacing w:line="440" w:lineRule="exact"/>
              <w:jc w:val="center"/>
              <w:rPr>
                <w:rFonts w:ascii="Times New Roman" w:hAnsi="Times New Roman" w:cs="Times New Roman"/>
                <w:sz w:val="21"/>
                <w:szCs w:val="21"/>
              </w:rPr>
            </w:pPr>
          </w:p>
        </w:tc>
        <w:tc>
          <w:tcPr>
            <w:tcW w:w="709" w:type="dxa"/>
            <w:vAlign w:val="center"/>
          </w:tcPr>
          <w:p>
            <w:pPr>
              <w:pStyle w:val="127"/>
              <w:adjustRightInd/>
              <w:spacing w:line="440" w:lineRule="exact"/>
              <w:jc w:val="center"/>
              <w:rPr>
                <w:rFonts w:ascii="Times New Roman" w:hAnsi="Times New Roman" w:cs="Times New Roman"/>
                <w:sz w:val="21"/>
                <w:szCs w:val="21"/>
              </w:rPr>
            </w:pPr>
          </w:p>
        </w:tc>
        <w:tc>
          <w:tcPr>
            <w:tcW w:w="709" w:type="dxa"/>
            <w:vAlign w:val="center"/>
          </w:tcPr>
          <w:p>
            <w:pPr>
              <w:pStyle w:val="127"/>
              <w:adjustRightInd/>
              <w:spacing w:line="440" w:lineRule="exact"/>
              <w:jc w:val="center"/>
              <w:rPr>
                <w:rFonts w:ascii="Times New Roman" w:hAnsi="Times New Roman" w:cs="Times New Roman"/>
                <w:sz w:val="21"/>
                <w:szCs w:val="21"/>
              </w:rPr>
            </w:pPr>
          </w:p>
        </w:tc>
        <w:tc>
          <w:tcPr>
            <w:tcW w:w="709" w:type="dxa"/>
            <w:vAlign w:val="center"/>
          </w:tcPr>
          <w:p>
            <w:pPr>
              <w:pStyle w:val="127"/>
              <w:adjustRightInd/>
              <w:spacing w:line="440" w:lineRule="exact"/>
              <w:jc w:val="center"/>
              <w:rPr>
                <w:rFonts w:ascii="Times New Roman" w:hAnsi="Times New Roman" w:cs="Times New Roman"/>
                <w:sz w:val="21"/>
                <w:szCs w:val="21"/>
              </w:rPr>
            </w:pPr>
          </w:p>
        </w:tc>
        <w:tc>
          <w:tcPr>
            <w:tcW w:w="850" w:type="dxa"/>
            <w:vAlign w:val="center"/>
          </w:tcPr>
          <w:p>
            <w:pPr>
              <w:pStyle w:val="127"/>
              <w:adjustRightInd/>
              <w:spacing w:line="440" w:lineRule="exact"/>
              <w:jc w:val="center"/>
              <w:rPr>
                <w:rFonts w:ascii="Times New Roman" w:hAnsi="Times New Roman" w:cs="Times New Roman"/>
                <w:sz w:val="21"/>
                <w:szCs w:val="21"/>
              </w:rPr>
            </w:pPr>
          </w:p>
        </w:tc>
        <w:tc>
          <w:tcPr>
            <w:tcW w:w="1640" w:type="dxa"/>
            <w:vAlign w:val="center"/>
          </w:tcPr>
          <w:p>
            <w:pPr>
              <w:pStyle w:val="127"/>
              <w:adjustRightInd/>
              <w:spacing w:line="440" w:lineRule="exact"/>
              <w:jc w:val="center"/>
              <w:rPr>
                <w:rFonts w:ascii="Times New Roman" w:hAnsi="Times New Roman" w:cs="Times New Roman"/>
                <w:sz w:val="21"/>
                <w:szCs w:val="21"/>
              </w:rPr>
            </w:pPr>
          </w:p>
        </w:tc>
        <w:tc>
          <w:tcPr>
            <w:tcW w:w="1993" w:type="dxa"/>
            <w:vAlign w:val="center"/>
          </w:tcPr>
          <w:p>
            <w:pPr>
              <w:pStyle w:val="127"/>
              <w:adjustRightInd/>
              <w:spacing w:line="440" w:lineRule="exact"/>
              <w:jc w:val="center"/>
              <w:rPr>
                <w:rFonts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9" w:type="dxa"/>
            <w:vAlign w:val="center"/>
          </w:tcPr>
          <w:p>
            <w:pPr>
              <w:pStyle w:val="127"/>
              <w:adjustRightInd/>
              <w:spacing w:line="440" w:lineRule="exact"/>
              <w:jc w:val="center"/>
              <w:rPr>
                <w:rFonts w:ascii="Times New Roman" w:hAnsi="Times New Roman" w:cs="Times New Roman"/>
                <w:sz w:val="21"/>
                <w:szCs w:val="21"/>
              </w:rPr>
            </w:pPr>
            <w:r>
              <w:rPr>
                <w:rFonts w:ascii="Times New Roman" w:hAnsi="Times New Roman" w:cs="Times New Roman"/>
                <w:sz w:val="21"/>
                <w:szCs w:val="21"/>
              </w:rPr>
              <w:t>3</w:t>
            </w:r>
          </w:p>
        </w:tc>
        <w:tc>
          <w:tcPr>
            <w:tcW w:w="708" w:type="dxa"/>
            <w:vAlign w:val="center"/>
          </w:tcPr>
          <w:p>
            <w:pPr>
              <w:pStyle w:val="127"/>
              <w:adjustRightInd/>
              <w:spacing w:line="440" w:lineRule="exact"/>
              <w:jc w:val="center"/>
              <w:rPr>
                <w:rFonts w:ascii="Times New Roman" w:hAnsi="Times New Roman" w:cs="Times New Roman"/>
                <w:sz w:val="21"/>
                <w:szCs w:val="21"/>
              </w:rPr>
            </w:pPr>
          </w:p>
        </w:tc>
        <w:tc>
          <w:tcPr>
            <w:tcW w:w="709" w:type="dxa"/>
            <w:vAlign w:val="center"/>
          </w:tcPr>
          <w:p>
            <w:pPr>
              <w:pStyle w:val="127"/>
              <w:adjustRightInd/>
              <w:spacing w:line="440" w:lineRule="exact"/>
              <w:jc w:val="center"/>
              <w:rPr>
                <w:rFonts w:ascii="Times New Roman" w:hAnsi="Times New Roman" w:cs="Times New Roman"/>
                <w:sz w:val="21"/>
                <w:szCs w:val="21"/>
              </w:rPr>
            </w:pPr>
          </w:p>
        </w:tc>
        <w:tc>
          <w:tcPr>
            <w:tcW w:w="709" w:type="dxa"/>
            <w:vAlign w:val="center"/>
          </w:tcPr>
          <w:p>
            <w:pPr>
              <w:pStyle w:val="127"/>
              <w:adjustRightInd/>
              <w:spacing w:line="440" w:lineRule="exact"/>
              <w:jc w:val="center"/>
              <w:rPr>
                <w:rFonts w:ascii="Times New Roman" w:hAnsi="Times New Roman" w:cs="Times New Roman"/>
                <w:sz w:val="21"/>
                <w:szCs w:val="21"/>
              </w:rPr>
            </w:pPr>
          </w:p>
        </w:tc>
        <w:tc>
          <w:tcPr>
            <w:tcW w:w="709" w:type="dxa"/>
            <w:vAlign w:val="center"/>
          </w:tcPr>
          <w:p>
            <w:pPr>
              <w:pStyle w:val="127"/>
              <w:adjustRightInd/>
              <w:spacing w:line="440" w:lineRule="exact"/>
              <w:jc w:val="center"/>
              <w:rPr>
                <w:rFonts w:ascii="Times New Roman" w:hAnsi="Times New Roman" w:cs="Times New Roman"/>
                <w:sz w:val="21"/>
                <w:szCs w:val="21"/>
              </w:rPr>
            </w:pPr>
          </w:p>
        </w:tc>
        <w:tc>
          <w:tcPr>
            <w:tcW w:w="850" w:type="dxa"/>
            <w:vAlign w:val="center"/>
          </w:tcPr>
          <w:p>
            <w:pPr>
              <w:pStyle w:val="127"/>
              <w:adjustRightInd/>
              <w:spacing w:line="440" w:lineRule="exact"/>
              <w:jc w:val="center"/>
              <w:rPr>
                <w:rFonts w:ascii="Times New Roman" w:hAnsi="Times New Roman" w:cs="Times New Roman"/>
                <w:sz w:val="21"/>
                <w:szCs w:val="21"/>
              </w:rPr>
            </w:pPr>
          </w:p>
        </w:tc>
        <w:tc>
          <w:tcPr>
            <w:tcW w:w="1640" w:type="dxa"/>
            <w:vAlign w:val="center"/>
          </w:tcPr>
          <w:p>
            <w:pPr>
              <w:pStyle w:val="127"/>
              <w:adjustRightInd/>
              <w:spacing w:line="440" w:lineRule="exact"/>
              <w:jc w:val="center"/>
              <w:rPr>
                <w:rFonts w:ascii="Times New Roman" w:hAnsi="Times New Roman" w:cs="Times New Roman"/>
                <w:sz w:val="21"/>
                <w:szCs w:val="21"/>
              </w:rPr>
            </w:pPr>
          </w:p>
        </w:tc>
        <w:tc>
          <w:tcPr>
            <w:tcW w:w="1993" w:type="dxa"/>
            <w:vAlign w:val="center"/>
          </w:tcPr>
          <w:p>
            <w:pPr>
              <w:pStyle w:val="127"/>
              <w:adjustRightInd/>
              <w:spacing w:line="440" w:lineRule="exact"/>
              <w:jc w:val="center"/>
              <w:rPr>
                <w:rFonts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9" w:type="dxa"/>
            <w:vAlign w:val="center"/>
          </w:tcPr>
          <w:p>
            <w:pPr>
              <w:pStyle w:val="127"/>
              <w:adjustRightInd/>
              <w:spacing w:line="440" w:lineRule="exact"/>
              <w:jc w:val="center"/>
              <w:rPr>
                <w:rFonts w:ascii="Times New Roman" w:hAnsi="Times New Roman" w:cs="Times New Roman"/>
                <w:sz w:val="21"/>
                <w:szCs w:val="21"/>
              </w:rPr>
            </w:pPr>
            <w:r>
              <w:rPr>
                <w:rFonts w:ascii="Times New Roman" w:hAnsi="Times New Roman" w:cs="Times New Roman"/>
                <w:sz w:val="21"/>
                <w:szCs w:val="21"/>
              </w:rPr>
              <w:t>...</w:t>
            </w:r>
          </w:p>
        </w:tc>
        <w:tc>
          <w:tcPr>
            <w:tcW w:w="708" w:type="dxa"/>
            <w:vAlign w:val="center"/>
          </w:tcPr>
          <w:p>
            <w:pPr>
              <w:pStyle w:val="127"/>
              <w:adjustRightInd/>
              <w:spacing w:line="440" w:lineRule="exact"/>
              <w:jc w:val="center"/>
              <w:rPr>
                <w:rFonts w:ascii="Times New Roman" w:hAnsi="Times New Roman" w:cs="Times New Roman"/>
                <w:sz w:val="21"/>
                <w:szCs w:val="21"/>
              </w:rPr>
            </w:pPr>
          </w:p>
        </w:tc>
        <w:tc>
          <w:tcPr>
            <w:tcW w:w="709" w:type="dxa"/>
            <w:vAlign w:val="center"/>
          </w:tcPr>
          <w:p>
            <w:pPr>
              <w:pStyle w:val="127"/>
              <w:adjustRightInd/>
              <w:spacing w:line="440" w:lineRule="exact"/>
              <w:jc w:val="center"/>
              <w:rPr>
                <w:rFonts w:ascii="Times New Roman" w:hAnsi="Times New Roman" w:cs="Times New Roman"/>
                <w:sz w:val="21"/>
                <w:szCs w:val="21"/>
              </w:rPr>
            </w:pPr>
          </w:p>
        </w:tc>
        <w:tc>
          <w:tcPr>
            <w:tcW w:w="709" w:type="dxa"/>
            <w:vAlign w:val="center"/>
          </w:tcPr>
          <w:p>
            <w:pPr>
              <w:pStyle w:val="127"/>
              <w:adjustRightInd/>
              <w:spacing w:line="440" w:lineRule="exact"/>
              <w:jc w:val="center"/>
              <w:rPr>
                <w:rFonts w:ascii="Times New Roman" w:hAnsi="Times New Roman" w:cs="Times New Roman"/>
                <w:sz w:val="21"/>
                <w:szCs w:val="21"/>
              </w:rPr>
            </w:pPr>
          </w:p>
        </w:tc>
        <w:tc>
          <w:tcPr>
            <w:tcW w:w="709" w:type="dxa"/>
            <w:vAlign w:val="center"/>
          </w:tcPr>
          <w:p>
            <w:pPr>
              <w:pStyle w:val="127"/>
              <w:adjustRightInd/>
              <w:spacing w:line="440" w:lineRule="exact"/>
              <w:jc w:val="center"/>
              <w:rPr>
                <w:rFonts w:ascii="Times New Roman" w:hAnsi="Times New Roman" w:cs="Times New Roman"/>
                <w:sz w:val="21"/>
                <w:szCs w:val="21"/>
              </w:rPr>
            </w:pPr>
          </w:p>
        </w:tc>
        <w:tc>
          <w:tcPr>
            <w:tcW w:w="850" w:type="dxa"/>
            <w:vAlign w:val="center"/>
          </w:tcPr>
          <w:p>
            <w:pPr>
              <w:pStyle w:val="127"/>
              <w:adjustRightInd/>
              <w:spacing w:line="440" w:lineRule="exact"/>
              <w:jc w:val="center"/>
              <w:rPr>
                <w:rFonts w:ascii="Times New Roman" w:hAnsi="Times New Roman" w:cs="Times New Roman"/>
                <w:sz w:val="21"/>
                <w:szCs w:val="21"/>
              </w:rPr>
            </w:pPr>
          </w:p>
        </w:tc>
        <w:tc>
          <w:tcPr>
            <w:tcW w:w="1640" w:type="dxa"/>
            <w:vAlign w:val="center"/>
          </w:tcPr>
          <w:p>
            <w:pPr>
              <w:pStyle w:val="127"/>
              <w:adjustRightInd/>
              <w:spacing w:line="440" w:lineRule="exact"/>
              <w:jc w:val="center"/>
              <w:rPr>
                <w:rFonts w:ascii="Times New Roman" w:hAnsi="Times New Roman" w:cs="Times New Roman"/>
                <w:sz w:val="21"/>
                <w:szCs w:val="21"/>
              </w:rPr>
            </w:pPr>
          </w:p>
        </w:tc>
        <w:tc>
          <w:tcPr>
            <w:tcW w:w="1993" w:type="dxa"/>
            <w:vAlign w:val="center"/>
          </w:tcPr>
          <w:p>
            <w:pPr>
              <w:pStyle w:val="127"/>
              <w:adjustRightInd/>
              <w:spacing w:line="440" w:lineRule="exact"/>
              <w:jc w:val="center"/>
              <w:rPr>
                <w:rFonts w:ascii="Times New Roman" w:hAnsi="Times New Roman" w:cs="Times New Roman"/>
                <w:sz w:val="21"/>
                <w:szCs w:val="21"/>
              </w:rPr>
            </w:pPr>
          </w:p>
        </w:tc>
      </w:tr>
    </w:tbl>
    <w:p>
      <w:pPr>
        <w:snapToGrid w:val="0"/>
        <w:spacing w:before="326" w:beforeLines="100" w:after="326" w:afterLines="100"/>
        <w:jc w:val="center"/>
        <w:outlineLvl w:val="0"/>
        <w:rPr>
          <w:rFonts w:ascii="Times New Roman" w:hAnsi="Times New Roman" w:eastAsia="黑体" w:cs="Times New Roman"/>
          <w:color w:val="000000"/>
          <w:kern w:val="0"/>
          <w:sz w:val="32"/>
          <w:szCs w:val="32"/>
          <w:lang w:bidi="ar"/>
        </w:rPr>
        <w:sectPr>
          <w:pgSz w:w="11906" w:h="16838"/>
          <w:pgMar w:top="1440" w:right="1800" w:bottom="1440" w:left="1800" w:header="851" w:footer="992" w:gutter="0"/>
          <w:pgNumType w:fmt="numberInDash"/>
          <w:cols w:space="720" w:num="1"/>
          <w:docGrid w:type="lines" w:linePitch="326" w:charSpace="0"/>
        </w:sectPr>
      </w:pPr>
    </w:p>
    <w:p>
      <w:pPr>
        <w:adjustRightInd/>
        <w:spacing w:line="360" w:lineRule="auto"/>
        <w:outlineLvl w:val="0"/>
        <w:rPr>
          <w:rFonts w:ascii="Times New Roman" w:hAnsi="Times New Roman" w:eastAsia="黑体" w:cs="Times New Roman"/>
          <w:color w:val="000000"/>
          <w:kern w:val="0"/>
          <w:sz w:val="32"/>
          <w:szCs w:val="32"/>
          <w:lang w:bidi="ar"/>
        </w:rPr>
      </w:pPr>
      <w:bookmarkStart w:id="357" w:name="_Toc83156845"/>
      <w:bookmarkStart w:id="358" w:name="_Toc83565282"/>
      <w:bookmarkStart w:id="359" w:name="_Toc83634773"/>
      <w:r>
        <w:rPr>
          <w:rFonts w:ascii="Times New Roman" w:hAnsi="Times New Roman" w:eastAsia="黑体" w:cs="Times New Roman"/>
          <w:color w:val="000000"/>
          <w:kern w:val="0"/>
          <w:sz w:val="32"/>
          <w:szCs w:val="32"/>
          <w:lang w:bidi="ar"/>
        </w:rPr>
        <w:t>附录</w:t>
      </w:r>
      <w:r>
        <w:rPr>
          <w:rFonts w:hint="eastAsia" w:ascii="Times New Roman" w:hAnsi="Times New Roman" w:eastAsia="黑体" w:cs="Times New Roman"/>
          <w:color w:val="000000"/>
          <w:kern w:val="0"/>
          <w:sz w:val="32"/>
          <w:szCs w:val="32"/>
          <w:lang w:bidi="ar"/>
        </w:rPr>
        <w:t>C</w:t>
      </w:r>
      <w:r>
        <w:rPr>
          <w:rFonts w:ascii="Times New Roman" w:hAnsi="Times New Roman" w:eastAsia="黑体" w:cs="Times New Roman"/>
          <w:color w:val="000000"/>
          <w:kern w:val="0"/>
          <w:sz w:val="32"/>
          <w:szCs w:val="32"/>
          <w:lang w:bidi="ar"/>
        </w:rPr>
        <w:t xml:space="preserve"> （资料性附录）暂不开发利用地块风险管控方案编制大纲</w:t>
      </w:r>
      <w:bookmarkEnd w:id="357"/>
      <w:bookmarkEnd w:id="358"/>
      <w:bookmarkEnd w:id="359"/>
    </w:p>
    <w:p>
      <w:pPr>
        <w:adjustRightInd/>
        <w:spacing w:before="100" w:beforeAutospacing="1" w:after="100" w:afterAutospacing="1" w:line="600" w:lineRule="exact"/>
        <w:rPr>
          <w:rFonts w:ascii="Times New Roman" w:hAnsi="Times New Roman" w:eastAsia="黑体" w:cs="Times New Roman"/>
          <w:color w:val="333333"/>
          <w:sz w:val="32"/>
          <w:szCs w:val="32"/>
        </w:rPr>
      </w:pPr>
      <w:r>
        <w:rPr>
          <w:rStyle w:val="34"/>
          <w:rFonts w:ascii="Times New Roman" w:hAnsi="Times New Roman" w:eastAsia="黑体" w:cs="Times New Roman"/>
          <w:b w:val="0"/>
          <w:bCs w:val="0"/>
          <w:color w:val="333333"/>
          <w:spacing w:val="-1"/>
          <w:sz w:val="32"/>
          <w:szCs w:val="32"/>
        </w:rPr>
        <w:t xml:space="preserve">1 </w:t>
      </w:r>
      <w:r>
        <w:rPr>
          <w:rStyle w:val="34"/>
          <w:rFonts w:ascii="Times New Roman" w:hAnsi="Times New Roman" w:eastAsia="黑体" w:cs="Times New Roman"/>
          <w:b w:val="0"/>
          <w:bCs w:val="0"/>
          <w:color w:val="333333"/>
          <w:sz w:val="32"/>
          <w:szCs w:val="32"/>
        </w:rPr>
        <w:t>项目背景</w:t>
      </w:r>
    </w:p>
    <w:p>
      <w:pPr>
        <w:pStyle w:val="31"/>
        <w:spacing w:line="600" w:lineRule="exact"/>
        <w:ind w:firstLine="320" w:firstLineChars="100"/>
        <w:jc w:val="both"/>
        <w:rPr>
          <w:rFonts w:ascii="Times New Roman" w:hAnsi="Times New Roman" w:eastAsia="仿宋_GB2312"/>
          <w:color w:val="333333"/>
          <w:sz w:val="32"/>
          <w:szCs w:val="32"/>
        </w:rPr>
      </w:pPr>
      <w:r>
        <w:rPr>
          <w:rFonts w:ascii="Times New Roman" w:hAnsi="Times New Roman" w:eastAsia="仿宋_GB2312"/>
          <w:color w:val="333333"/>
          <w:sz w:val="32"/>
          <w:szCs w:val="32"/>
        </w:rPr>
        <w:t xml:space="preserve">1.1 </w:t>
      </w:r>
      <w:r>
        <w:rPr>
          <w:rStyle w:val="34"/>
          <w:rFonts w:ascii="Times New Roman" w:hAnsi="Times New Roman" w:eastAsia="仿宋_GB2312"/>
          <w:b w:val="0"/>
          <w:bCs w:val="0"/>
          <w:color w:val="333333"/>
          <w:sz w:val="32"/>
          <w:szCs w:val="32"/>
        </w:rPr>
        <w:t>任务由来</w:t>
      </w:r>
    </w:p>
    <w:p>
      <w:pPr>
        <w:pStyle w:val="31"/>
        <w:spacing w:line="600" w:lineRule="exact"/>
        <w:ind w:firstLine="640"/>
        <w:jc w:val="both"/>
        <w:rPr>
          <w:rFonts w:ascii="Times New Roman" w:hAnsi="Times New Roman" w:eastAsia="仿宋_GB2312"/>
          <w:color w:val="333333"/>
          <w:sz w:val="32"/>
          <w:szCs w:val="32"/>
        </w:rPr>
      </w:pPr>
      <w:r>
        <w:rPr>
          <w:rFonts w:ascii="Times New Roman" w:hAnsi="Times New Roman" w:eastAsia="仿宋_GB2312"/>
          <w:color w:val="333333"/>
          <w:sz w:val="32"/>
          <w:szCs w:val="32"/>
        </w:rPr>
        <w:t>说明地块环境管理过程及风险管控环境管理要求。</w:t>
      </w:r>
    </w:p>
    <w:p>
      <w:pPr>
        <w:pStyle w:val="31"/>
        <w:spacing w:line="600" w:lineRule="exact"/>
        <w:ind w:firstLine="320" w:firstLineChars="100"/>
        <w:jc w:val="both"/>
        <w:rPr>
          <w:rFonts w:ascii="Times New Roman" w:hAnsi="Times New Roman" w:eastAsia="仿宋_GB2312"/>
          <w:color w:val="333333"/>
          <w:sz w:val="32"/>
          <w:szCs w:val="32"/>
        </w:rPr>
      </w:pPr>
      <w:r>
        <w:rPr>
          <w:rFonts w:ascii="Times New Roman" w:hAnsi="Times New Roman" w:eastAsia="仿宋_GB2312"/>
          <w:color w:val="333333"/>
          <w:sz w:val="32"/>
          <w:szCs w:val="32"/>
        </w:rPr>
        <w:t xml:space="preserve">1.2 </w:t>
      </w:r>
      <w:r>
        <w:rPr>
          <w:rStyle w:val="34"/>
          <w:rFonts w:ascii="Times New Roman" w:hAnsi="Times New Roman" w:eastAsia="仿宋_GB2312"/>
          <w:b w:val="0"/>
          <w:bCs w:val="0"/>
          <w:color w:val="333333"/>
          <w:sz w:val="32"/>
          <w:szCs w:val="32"/>
        </w:rPr>
        <w:t>编制依据</w:t>
      </w:r>
    </w:p>
    <w:p>
      <w:pPr>
        <w:pStyle w:val="31"/>
        <w:spacing w:line="600" w:lineRule="exact"/>
        <w:ind w:firstLine="640"/>
        <w:jc w:val="both"/>
        <w:rPr>
          <w:rFonts w:ascii="Times New Roman" w:hAnsi="Times New Roman" w:eastAsia="仿宋_GB2312"/>
          <w:color w:val="333333"/>
          <w:sz w:val="32"/>
          <w:szCs w:val="32"/>
        </w:rPr>
      </w:pPr>
      <w:r>
        <w:rPr>
          <w:rFonts w:ascii="Times New Roman" w:hAnsi="Times New Roman" w:eastAsia="仿宋_GB2312"/>
          <w:color w:val="333333"/>
          <w:sz w:val="32"/>
          <w:szCs w:val="32"/>
        </w:rPr>
        <w:t>列出方案编制的法律、规章、技术标准规范等参考文件。</w:t>
      </w:r>
    </w:p>
    <w:p>
      <w:pPr>
        <w:pStyle w:val="31"/>
        <w:spacing w:line="600" w:lineRule="exact"/>
        <w:ind w:firstLine="0" w:firstLineChars="0"/>
        <w:jc w:val="both"/>
        <w:rPr>
          <w:rStyle w:val="34"/>
          <w:rFonts w:ascii="Times New Roman" w:hAnsi="Times New Roman" w:eastAsia="黑体"/>
          <w:b w:val="0"/>
          <w:bCs w:val="0"/>
          <w:sz w:val="32"/>
          <w:szCs w:val="32"/>
        </w:rPr>
      </w:pPr>
      <w:r>
        <w:rPr>
          <w:rStyle w:val="34"/>
          <w:rFonts w:ascii="Times New Roman" w:hAnsi="Times New Roman" w:eastAsia="黑体"/>
          <w:b w:val="0"/>
          <w:bCs w:val="0"/>
          <w:color w:val="333333"/>
          <w:sz w:val="32"/>
          <w:szCs w:val="32"/>
        </w:rPr>
        <w:t>2 地块风险识别</w:t>
      </w:r>
    </w:p>
    <w:p>
      <w:pPr>
        <w:pStyle w:val="31"/>
        <w:spacing w:line="600" w:lineRule="exact"/>
        <w:ind w:firstLine="320" w:firstLineChars="100"/>
        <w:jc w:val="both"/>
        <w:rPr>
          <w:rFonts w:ascii="Times New Roman" w:hAnsi="Times New Roman" w:eastAsia="仿宋_GB2312"/>
          <w:color w:val="333333"/>
          <w:sz w:val="32"/>
          <w:szCs w:val="32"/>
        </w:rPr>
      </w:pPr>
      <w:r>
        <w:rPr>
          <w:rStyle w:val="34"/>
          <w:rFonts w:ascii="Times New Roman" w:hAnsi="Times New Roman" w:eastAsia="仿宋_GB2312"/>
          <w:b w:val="0"/>
          <w:bCs w:val="0"/>
          <w:color w:val="333333"/>
          <w:sz w:val="32"/>
          <w:szCs w:val="32"/>
        </w:rPr>
        <w:t>2.1 地块基本信息</w:t>
      </w:r>
    </w:p>
    <w:p>
      <w:pPr>
        <w:pStyle w:val="31"/>
        <w:spacing w:line="600" w:lineRule="exact"/>
        <w:ind w:firstLine="640"/>
        <w:jc w:val="both"/>
        <w:rPr>
          <w:rFonts w:ascii="Times New Roman" w:hAnsi="Times New Roman" w:eastAsia="仿宋_GB2312"/>
          <w:color w:val="333333"/>
          <w:sz w:val="32"/>
          <w:szCs w:val="32"/>
        </w:rPr>
      </w:pPr>
      <w:r>
        <w:rPr>
          <w:rFonts w:ascii="Times New Roman" w:hAnsi="Times New Roman" w:eastAsia="仿宋_GB2312"/>
          <w:color w:val="333333"/>
          <w:sz w:val="32"/>
          <w:szCs w:val="32"/>
        </w:rPr>
        <w:t>包括地块详细基本信息、水文地质、周围环境与敏感目标以及工程建设条件。</w:t>
      </w:r>
    </w:p>
    <w:p>
      <w:pPr>
        <w:pStyle w:val="31"/>
        <w:spacing w:line="600" w:lineRule="exact"/>
        <w:ind w:firstLine="320" w:firstLineChars="100"/>
        <w:jc w:val="both"/>
        <w:rPr>
          <w:rFonts w:ascii="Times New Roman" w:hAnsi="Times New Roman" w:eastAsia="仿宋_GB2312"/>
          <w:color w:val="333333"/>
          <w:sz w:val="32"/>
          <w:szCs w:val="32"/>
        </w:rPr>
      </w:pPr>
      <w:r>
        <w:rPr>
          <w:rStyle w:val="34"/>
          <w:rFonts w:ascii="Times New Roman" w:hAnsi="Times New Roman" w:eastAsia="仿宋_GB2312"/>
          <w:b w:val="0"/>
          <w:bCs w:val="0"/>
          <w:color w:val="333333"/>
          <w:sz w:val="32"/>
          <w:szCs w:val="32"/>
        </w:rPr>
        <w:t>2.2 地块（潜在）污染情况</w:t>
      </w:r>
    </w:p>
    <w:p>
      <w:pPr>
        <w:pStyle w:val="31"/>
        <w:spacing w:line="600" w:lineRule="exact"/>
        <w:ind w:firstLine="640"/>
        <w:jc w:val="both"/>
        <w:rPr>
          <w:rFonts w:ascii="Times New Roman" w:hAnsi="Times New Roman" w:eastAsia="仿宋_GB2312"/>
          <w:color w:val="333333"/>
          <w:sz w:val="32"/>
          <w:szCs w:val="32"/>
        </w:rPr>
      </w:pPr>
      <w:r>
        <w:rPr>
          <w:rFonts w:ascii="Times New Roman" w:hAnsi="Times New Roman" w:eastAsia="仿宋_GB2312"/>
          <w:color w:val="333333"/>
          <w:sz w:val="32"/>
          <w:szCs w:val="32"/>
        </w:rPr>
        <w:t>结合地块基础信息资料、关注度分级情况，分析地块相对风险水平和潜在污染情况（若采取工程措施，则要结合前期初步调查和风险分级情况，总结地块主要污染物、污染范围、污染途径等重要结论），划定风险管控区域。明确风险管控目标，从生态环境安全、人员社会安全等方面说明风险管控落实后需要达到的效果。</w:t>
      </w:r>
    </w:p>
    <w:p>
      <w:pPr>
        <w:pStyle w:val="31"/>
        <w:spacing w:line="600" w:lineRule="exact"/>
        <w:ind w:firstLine="0" w:firstLineChars="0"/>
        <w:jc w:val="both"/>
        <w:rPr>
          <w:rStyle w:val="34"/>
          <w:rFonts w:ascii="Times New Roman" w:hAnsi="Times New Roman" w:eastAsia="黑体"/>
          <w:b w:val="0"/>
          <w:bCs w:val="0"/>
          <w:sz w:val="32"/>
          <w:szCs w:val="32"/>
        </w:rPr>
      </w:pPr>
      <w:r>
        <w:rPr>
          <w:rStyle w:val="34"/>
          <w:rFonts w:ascii="Times New Roman" w:hAnsi="Times New Roman" w:eastAsia="黑体"/>
          <w:b w:val="0"/>
          <w:bCs w:val="0"/>
          <w:color w:val="333333"/>
          <w:sz w:val="32"/>
          <w:szCs w:val="32"/>
        </w:rPr>
        <w:t>3 初步管控措施</w:t>
      </w:r>
    </w:p>
    <w:p>
      <w:pPr>
        <w:pStyle w:val="31"/>
        <w:spacing w:line="600" w:lineRule="exact"/>
        <w:ind w:firstLine="640"/>
        <w:jc w:val="both"/>
        <w:rPr>
          <w:rFonts w:ascii="Times New Roman" w:hAnsi="Times New Roman" w:eastAsia="仿宋_GB2312"/>
          <w:color w:val="333333"/>
          <w:sz w:val="32"/>
          <w:szCs w:val="32"/>
        </w:rPr>
      </w:pPr>
      <w:r>
        <w:rPr>
          <w:rStyle w:val="34"/>
          <w:rFonts w:ascii="Times New Roman" w:hAnsi="Times New Roman" w:eastAsia="仿宋_GB2312"/>
          <w:b w:val="0"/>
          <w:bCs w:val="0"/>
          <w:color w:val="333333"/>
          <w:sz w:val="32"/>
          <w:szCs w:val="32"/>
        </w:rPr>
        <w:t>包括初步管控措施的选取、具体实施方案和日常维护与管理。</w:t>
      </w:r>
    </w:p>
    <w:p>
      <w:pPr>
        <w:pStyle w:val="31"/>
        <w:spacing w:line="600" w:lineRule="exact"/>
        <w:ind w:firstLine="0" w:firstLineChars="0"/>
        <w:jc w:val="both"/>
        <w:rPr>
          <w:rStyle w:val="34"/>
          <w:rFonts w:ascii="Times New Roman" w:hAnsi="Times New Roman" w:eastAsia="黑体"/>
          <w:b w:val="0"/>
          <w:bCs w:val="0"/>
          <w:color w:val="333333"/>
          <w:sz w:val="32"/>
          <w:szCs w:val="32"/>
        </w:rPr>
      </w:pPr>
      <w:r>
        <w:rPr>
          <w:rStyle w:val="34"/>
          <w:rFonts w:ascii="Times New Roman" w:hAnsi="Times New Roman" w:eastAsia="黑体"/>
          <w:b w:val="0"/>
          <w:bCs w:val="0"/>
          <w:color w:val="333333"/>
          <w:sz w:val="32"/>
          <w:szCs w:val="32"/>
        </w:rPr>
        <w:t>4 工程管控措施</w:t>
      </w:r>
    </w:p>
    <w:p>
      <w:pPr>
        <w:pStyle w:val="31"/>
        <w:spacing w:line="600" w:lineRule="exact"/>
        <w:ind w:firstLine="320" w:firstLineChars="100"/>
        <w:jc w:val="both"/>
        <w:rPr>
          <w:rFonts w:ascii="Times New Roman" w:hAnsi="Times New Roman" w:eastAsia="仿宋_GB2312"/>
          <w:color w:val="333333"/>
          <w:sz w:val="32"/>
          <w:szCs w:val="32"/>
        </w:rPr>
      </w:pPr>
      <w:r>
        <w:rPr>
          <w:rFonts w:ascii="Times New Roman" w:hAnsi="Times New Roman" w:eastAsia="仿宋_GB2312"/>
          <w:color w:val="333333"/>
          <w:sz w:val="32"/>
          <w:szCs w:val="32"/>
        </w:rPr>
        <w:t xml:space="preserve">4.1 </w:t>
      </w:r>
      <w:r>
        <w:rPr>
          <w:rStyle w:val="34"/>
          <w:rFonts w:ascii="Times New Roman" w:hAnsi="Times New Roman" w:eastAsia="仿宋_GB2312"/>
          <w:b w:val="0"/>
          <w:bCs w:val="0"/>
          <w:color w:val="333333"/>
          <w:sz w:val="32"/>
          <w:szCs w:val="32"/>
        </w:rPr>
        <w:t>工程管控目标与范围</w:t>
      </w:r>
    </w:p>
    <w:p>
      <w:pPr>
        <w:pStyle w:val="31"/>
        <w:spacing w:line="600" w:lineRule="exact"/>
        <w:ind w:firstLine="640"/>
        <w:jc w:val="both"/>
        <w:rPr>
          <w:rFonts w:ascii="Times New Roman" w:hAnsi="Times New Roman" w:eastAsia="仿宋_GB2312"/>
          <w:color w:val="333333"/>
          <w:sz w:val="32"/>
          <w:szCs w:val="32"/>
        </w:rPr>
      </w:pPr>
      <w:r>
        <w:rPr>
          <w:rFonts w:ascii="Times New Roman" w:hAnsi="Times New Roman" w:eastAsia="仿宋_GB2312"/>
          <w:color w:val="333333"/>
          <w:sz w:val="32"/>
          <w:szCs w:val="32"/>
        </w:rPr>
        <w:t>提出本项目污染风险的保护目标和工程验收标准。根据前期调查结论，明确工程管控范围。</w:t>
      </w:r>
    </w:p>
    <w:p>
      <w:pPr>
        <w:pStyle w:val="31"/>
        <w:spacing w:line="600" w:lineRule="exact"/>
        <w:ind w:firstLine="320" w:firstLineChars="100"/>
        <w:jc w:val="both"/>
        <w:rPr>
          <w:rFonts w:ascii="Times New Roman" w:hAnsi="Times New Roman" w:eastAsia="仿宋_GB2312"/>
          <w:color w:val="333333"/>
          <w:sz w:val="32"/>
          <w:szCs w:val="32"/>
        </w:rPr>
      </w:pPr>
      <w:r>
        <w:rPr>
          <w:rFonts w:ascii="Times New Roman" w:hAnsi="Times New Roman" w:eastAsia="仿宋_GB2312"/>
          <w:color w:val="333333"/>
          <w:sz w:val="32"/>
          <w:szCs w:val="32"/>
        </w:rPr>
        <w:t xml:space="preserve">4.2 </w:t>
      </w:r>
      <w:r>
        <w:rPr>
          <w:rStyle w:val="34"/>
          <w:rFonts w:ascii="Times New Roman" w:hAnsi="Times New Roman" w:eastAsia="仿宋_GB2312"/>
          <w:b w:val="0"/>
          <w:bCs w:val="0"/>
          <w:color w:val="333333"/>
          <w:sz w:val="32"/>
          <w:szCs w:val="32"/>
        </w:rPr>
        <w:t>工程管控技术比选</w:t>
      </w:r>
    </w:p>
    <w:p>
      <w:pPr>
        <w:pStyle w:val="31"/>
        <w:spacing w:line="600" w:lineRule="exact"/>
        <w:ind w:firstLine="640"/>
        <w:jc w:val="both"/>
        <w:rPr>
          <w:rFonts w:ascii="Times New Roman" w:hAnsi="Times New Roman" w:eastAsia="仿宋_GB2312"/>
          <w:color w:val="333333"/>
          <w:sz w:val="32"/>
          <w:szCs w:val="32"/>
        </w:rPr>
      </w:pPr>
      <w:r>
        <w:rPr>
          <w:rFonts w:ascii="Times New Roman" w:hAnsi="Times New Roman" w:eastAsia="仿宋_GB2312"/>
          <w:color w:val="333333"/>
          <w:sz w:val="32"/>
          <w:szCs w:val="32"/>
        </w:rPr>
        <w:t>分析地块特征，对比各种工程技术的适用性、成熟度、投资与维护难度等因素，筛选适合的工程管控技术。</w:t>
      </w:r>
    </w:p>
    <w:p>
      <w:pPr>
        <w:pStyle w:val="31"/>
        <w:spacing w:line="600" w:lineRule="exact"/>
        <w:ind w:firstLine="320" w:firstLineChars="100"/>
        <w:jc w:val="both"/>
        <w:rPr>
          <w:rStyle w:val="34"/>
          <w:rFonts w:ascii="Times New Roman" w:hAnsi="Times New Roman" w:eastAsia="仿宋_GB2312"/>
          <w:b w:val="0"/>
          <w:bCs w:val="0"/>
          <w:color w:val="333333"/>
          <w:sz w:val="32"/>
          <w:szCs w:val="32"/>
        </w:rPr>
      </w:pPr>
      <w:r>
        <w:rPr>
          <w:rStyle w:val="34"/>
          <w:rFonts w:ascii="Times New Roman" w:hAnsi="Times New Roman" w:eastAsia="仿宋_GB2312"/>
          <w:b w:val="0"/>
          <w:bCs w:val="0"/>
          <w:color w:val="333333"/>
          <w:sz w:val="32"/>
          <w:szCs w:val="32"/>
        </w:rPr>
        <w:t>4.3 工程管控实施方案</w:t>
      </w:r>
    </w:p>
    <w:p>
      <w:pPr>
        <w:pStyle w:val="31"/>
        <w:spacing w:line="600" w:lineRule="exact"/>
        <w:ind w:firstLine="640"/>
        <w:jc w:val="both"/>
        <w:rPr>
          <w:rFonts w:ascii="Times New Roman" w:hAnsi="Times New Roman" w:eastAsia="仿宋_GB2312"/>
          <w:color w:val="333333"/>
          <w:sz w:val="32"/>
          <w:szCs w:val="32"/>
        </w:rPr>
      </w:pPr>
      <w:r>
        <w:rPr>
          <w:rStyle w:val="34"/>
          <w:rFonts w:ascii="Times New Roman" w:hAnsi="Times New Roman" w:eastAsia="仿宋_GB2312"/>
          <w:b w:val="0"/>
          <w:bCs w:val="0"/>
          <w:color w:val="333333"/>
          <w:sz w:val="32"/>
          <w:szCs w:val="32"/>
        </w:rPr>
        <w:t>工程管控措施设计。</w:t>
      </w:r>
      <w:r>
        <w:rPr>
          <w:rFonts w:ascii="Times New Roman" w:hAnsi="Times New Roman" w:eastAsia="仿宋_GB2312"/>
          <w:color w:val="333333"/>
          <w:sz w:val="32"/>
          <w:szCs w:val="32"/>
        </w:rPr>
        <w:t>对选取技术的各项要求进行详述，包括措施实施流程及说明、技术参数、组织计划、工程量清单等。</w:t>
      </w:r>
    </w:p>
    <w:p>
      <w:pPr>
        <w:pStyle w:val="31"/>
        <w:spacing w:line="600" w:lineRule="exact"/>
        <w:ind w:firstLine="640"/>
        <w:jc w:val="both"/>
        <w:rPr>
          <w:rFonts w:ascii="Times New Roman" w:hAnsi="Times New Roman" w:eastAsia="仿宋_GB2312"/>
          <w:color w:val="333333"/>
          <w:sz w:val="32"/>
          <w:szCs w:val="32"/>
        </w:rPr>
      </w:pPr>
      <w:r>
        <w:rPr>
          <w:rStyle w:val="34"/>
          <w:rFonts w:ascii="Times New Roman" w:hAnsi="Times New Roman" w:eastAsia="仿宋_GB2312"/>
          <w:b w:val="0"/>
          <w:bCs w:val="0"/>
          <w:color w:val="333333"/>
          <w:sz w:val="32"/>
          <w:szCs w:val="32"/>
        </w:rPr>
        <w:t>工程管控维护和管理。</w:t>
      </w:r>
      <w:r>
        <w:rPr>
          <w:rFonts w:ascii="Times New Roman" w:hAnsi="Times New Roman" w:eastAsia="仿宋_GB2312"/>
          <w:color w:val="333333"/>
          <w:sz w:val="32"/>
          <w:szCs w:val="32"/>
        </w:rPr>
        <w:t>提出需要维护的设施清单、维护频次、技术人员配备、检查要点等内容。</w:t>
      </w:r>
    </w:p>
    <w:p>
      <w:pPr>
        <w:pStyle w:val="31"/>
        <w:spacing w:line="600" w:lineRule="exact"/>
        <w:ind w:firstLine="640"/>
        <w:jc w:val="both"/>
        <w:rPr>
          <w:rFonts w:ascii="Times New Roman" w:hAnsi="Times New Roman" w:eastAsia="仿宋_GB2312"/>
          <w:color w:val="333333"/>
          <w:sz w:val="32"/>
          <w:szCs w:val="32"/>
        </w:rPr>
      </w:pPr>
      <w:r>
        <w:rPr>
          <w:rStyle w:val="34"/>
          <w:rFonts w:ascii="Times New Roman" w:hAnsi="Times New Roman" w:eastAsia="仿宋_GB2312"/>
          <w:b w:val="0"/>
          <w:bCs w:val="0"/>
          <w:color w:val="333333"/>
          <w:sz w:val="32"/>
          <w:szCs w:val="32"/>
        </w:rPr>
        <w:t>二次污染分析及防治措施。</w:t>
      </w:r>
      <w:r>
        <w:rPr>
          <w:rFonts w:ascii="Times New Roman" w:hAnsi="Times New Roman" w:eastAsia="仿宋_GB2312"/>
          <w:color w:val="333333"/>
          <w:sz w:val="32"/>
          <w:szCs w:val="32"/>
        </w:rPr>
        <w:t>分析施工过程中可能存在的二次污染类型，并提出相应的防治措施。</w:t>
      </w:r>
    </w:p>
    <w:p>
      <w:pPr>
        <w:pStyle w:val="31"/>
        <w:tabs>
          <w:tab w:val="right" w:pos="9070"/>
        </w:tabs>
        <w:spacing w:line="600" w:lineRule="exact"/>
        <w:ind w:firstLine="320" w:firstLineChars="100"/>
        <w:jc w:val="both"/>
        <w:rPr>
          <w:rFonts w:ascii="Times New Roman" w:hAnsi="Times New Roman" w:eastAsia="仿宋_GB2312"/>
          <w:color w:val="333333"/>
          <w:sz w:val="32"/>
          <w:szCs w:val="32"/>
        </w:rPr>
      </w:pPr>
      <w:r>
        <w:rPr>
          <w:rFonts w:ascii="Times New Roman" w:hAnsi="Times New Roman" w:eastAsia="仿宋_GB2312"/>
          <w:color w:val="333333"/>
          <w:sz w:val="32"/>
          <w:szCs w:val="32"/>
        </w:rPr>
        <w:t xml:space="preserve">4.4 </w:t>
      </w:r>
      <w:r>
        <w:rPr>
          <w:rStyle w:val="34"/>
          <w:rFonts w:ascii="Times New Roman" w:hAnsi="Times New Roman" w:eastAsia="仿宋_GB2312"/>
          <w:b w:val="0"/>
          <w:bCs w:val="0"/>
          <w:color w:val="333333"/>
          <w:sz w:val="32"/>
          <w:szCs w:val="32"/>
        </w:rPr>
        <w:t>进度安排</w:t>
      </w:r>
    </w:p>
    <w:p>
      <w:pPr>
        <w:pStyle w:val="31"/>
        <w:spacing w:line="600" w:lineRule="exact"/>
        <w:ind w:firstLine="640"/>
        <w:jc w:val="both"/>
        <w:rPr>
          <w:rFonts w:ascii="Times New Roman" w:hAnsi="Times New Roman" w:eastAsia="仿宋_GB2312"/>
          <w:color w:val="333333"/>
          <w:sz w:val="32"/>
          <w:szCs w:val="32"/>
        </w:rPr>
      </w:pPr>
      <w:r>
        <w:rPr>
          <w:rFonts w:ascii="Times New Roman" w:hAnsi="Times New Roman" w:eastAsia="仿宋_GB2312"/>
          <w:color w:val="333333"/>
          <w:sz w:val="32"/>
          <w:szCs w:val="32"/>
        </w:rPr>
        <w:t>提出适当的工程施工进度安排。</w:t>
      </w:r>
    </w:p>
    <w:p>
      <w:pPr>
        <w:pStyle w:val="31"/>
        <w:spacing w:line="600" w:lineRule="exact"/>
        <w:ind w:firstLine="0" w:firstLineChars="0"/>
        <w:jc w:val="both"/>
        <w:rPr>
          <w:rStyle w:val="34"/>
          <w:rFonts w:ascii="Times New Roman" w:hAnsi="Times New Roman" w:eastAsia="黑体"/>
          <w:b w:val="0"/>
          <w:bCs w:val="0"/>
          <w:color w:val="333333"/>
          <w:sz w:val="32"/>
          <w:szCs w:val="32"/>
        </w:rPr>
      </w:pPr>
      <w:bookmarkStart w:id="360" w:name="_Toc66349597"/>
      <w:bookmarkStart w:id="361" w:name="_Toc66114120"/>
      <w:bookmarkStart w:id="362" w:name="_Toc61967218"/>
      <w:bookmarkStart w:id="363" w:name="_Toc66089241"/>
      <w:bookmarkStart w:id="364" w:name="_Toc61968123"/>
      <w:bookmarkStart w:id="365" w:name="_Toc67912639"/>
      <w:bookmarkStart w:id="366" w:name="_Toc68165981"/>
      <w:r>
        <w:rPr>
          <w:rStyle w:val="34"/>
          <w:rFonts w:ascii="Times New Roman" w:hAnsi="Times New Roman" w:eastAsia="黑体"/>
          <w:b w:val="0"/>
          <w:bCs w:val="0"/>
          <w:color w:val="333333"/>
          <w:sz w:val="32"/>
          <w:szCs w:val="32"/>
        </w:rPr>
        <w:t>5 应急预案</w:t>
      </w:r>
      <w:bookmarkEnd w:id="360"/>
      <w:bookmarkEnd w:id="361"/>
      <w:bookmarkEnd w:id="362"/>
      <w:bookmarkEnd w:id="363"/>
      <w:bookmarkEnd w:id="364"/>
      <w:bookmarkEnd w:id="365"/>
      <w:bookmarkEnd w:id="366"/>
    </w:p>
    <w:p>
      <w:pPr>
        <w:pStyle w:val="31"/>
        <w:spacing w:line="600" w:lineRule="exact"/>
        <w:ind w:firstLine="640"/>
        <w:jc w:val="both"/>
        <w:rPr>
          <w:rFonts w:ascii="Times New Roman" w:hAnsi="Times New Roman" w:eastAsia="仿宋_GB2312"/>
          <w:color w:val="333333"/>
          <w:sz w:val="32"/>
          <w:szCs w:val="32"/>
        </w:rPr>
      </w:pPr>
      <w:r>
        <w:rPr>
          <w:rFonts w:ascii="Times New Roman" w:hAnsi="Times New Roman" w:eastAsia="仿宋_GB2312"/>
          <w:color w:val="333333"/>
          <w:sz w:val="32"/>
          <w:szCs w:val="32"/>
        </w:rPr>
        <w:t>内容包括安全问题识别、预防措施、突发事故应急措施、安全防护装备和安全防护培训。</w:t>
      </w:r>
    </w:p>
    <w:p>
      <w:pPr>
        <w:pStyle w:val="31"/>
        <w:spacing w:line="600" w:lineRule="exact"/>
        <w:ind w:firstLine="0" w:firstLineChars="0"/>
        <w:jc w:val="both"/>
        <w:rPr>
          <w:rStyle w:val="34"/>
          <w:rFonts w:ascii="Times New Roman" w:hAnsi="Times New Roman" w:eastAsia="黑体"/>
          <w:b w:val="0"/>
          <w:bCs w:val="0"/>
          <w:color w:val="333333"/>
          <w:sz w:val="32"/>
          <w:szCs w:val="32"/>
        </w:rPr>
      </w:pPr>
      <w:bookmarkStart w:id="367" w:name="_Toc66089242"/>
      <w:bookmarkStart w:id="368" w:name="_Toc66114121"/>
      <w:bookmarkStart w:id="369" w:name="_Toc67912640"/>
      <w:bookmarkStart w:id="370" w:name="_Toc68165982"/>
      <w:bookmarkStart w:id="371" w:name="_Toc66349598"/>
      <w:r>
        <w:rPr>
          <w:rStyle w:val="34"/>
          <w:rFonts w:ascii="Times New Roman" w:hAnsi="Times New Roman" w:eastAsia="黑体"/>
          <w:b w:val="0"/>
          <w:bCs w:val="0"/>
          <w:color w:val="333333"/>
          <w:sz w:val="32"/>
          <w:szCs w:val="32"/>
        </w:rPr>
        <w:t>6 环境监测计划</w:t>
      </w:r>
      <w:bookmarkEnd w:id="367"/>
      <w:bookmarkEnd w:id="368"/>
      <w:bookmarkEnd w:id="369"/>
      <w:bookmarkEnd w:id="370"/>
      <w:bookmarkEnd w:id="371"/>
    </w:p>
    <w:p>
      <w:pPr>
        <w:pStyle w:val="31"/>
        <w:spacing w:line="600" w:lineRule="exact"/>
        <w:ind w:firstLine="640"/>
        <w:jc w:val="both"/>
        <w:rPr>
          <w:rFonts w:ascii="Times New Roman" w:hAnsi="Times New Roman" w:eastAsia="仿宋_GB2312"/>
          <w:color w:val="333333"/>
          <w:sz w:val="32"/>
          <w:szCs w:val="32"/>
        </w:rPr>
      </w:pPr>
      <w:r>
        <w:rPr>
          <w:rFonts w:ascii="Times New Roman" w:hAnsi="Times New Roman" w:eastAsia="仿宋_GB2312"/>
          <w:color w:val="333333"/>
          <w:sz w:val="32"/>
          <w:szCs w:val="32"/>
        </w:rPr>
        <w:t>主要包括开展土壤、地下水等环境监测指标、样点布设、样品采集与分析、监测频次等内容。根据监测结果分析污染物是否扩散。</w:t>
      </w:r>
    </w:p>
    <w:p>
      <w:pPr>
        <w:pStyle w:val="31"/>
        <w:spacing w:line="600" w:lineRule="exact"/>
        <w:ind w:firstLine="0" w:firstLineChars="0"/>
        <w:jc w:val="both"/>
        <w:rPr>
          <w:rStyle w:val="34"/>
          <w:rFonts w:ascii="Times New Roman" w:hAnsi="Times New Roman" w:eastAsia="黑体"/>
          <w:b w:val="0"/>
          <w:bCs w:val="0"/>
          <w:sz w:val="32"/>
          <w:szCs w:val="32"/>
        </w:rPr>
      </w:pPr>
      <w:r>
        <w:rPr>
          <w:rStyle w:val="34"/>
          <w:rFonts w:ascii="Times New Roman" w:hAnsi="Times New Roman" w:eastAsia="黑体"/>
          <w:b w:val="0"/>
          <w:bCs w:val="0"/>
          <w:color w:val="333333"/>
          <w:sz w:val="32"/>
          <w:szCs w:val="32"/>
        </w:rPr>
        <w:t>7  投资估算</w:t>
      </w:r>
    </w:p>
    <w:p>
      <w:pPr>
        <w:pStyle w:val="31"/>
        <w:spacing w:line="600" w:lineRule="exact"/>
        <w:ind w:firstLine="640"/>
        <w:jc w:val="both"/>
        <w:rPr>
          <w:rFonts w:ascii="Times New Roman" w:hAnsi="Times New Roman" w:eastAsia="仿宋_GB2312"/>
          <w:color w:val="333333"/>
          <w:sz w:val="32"/>
          <w:szCs w:val="32"/>
        </w:rPr>
      </w:pPr>
      <w:r>
        <w:rPr>
          <w:rFonts w:ascii="Times New Roman" w:hAnsi="Times New Roman" w:eastAsia="仿宋_GB2312"/>
          <w:color w:val="333333"/>
          <w:sz w:val="32"/>
          <w:szCs w:val="32"/>
        </w:rPr>
        <w:t>初步管控和工程管控措施建设、运行、维护所需经费概算。</w:t>
      </w:r>
    </w:p>
    <w:p>
      <w:pPr>
        <w:pStyle w:val="31"/>
        <w:spacing w:line="600" w:lineRule="exact"/>
        <w:ind w:firstLine="0" w:firstLineChars="0"/>
        <w:jc w:val="both"/>
        <w:rPr>
          <w:rStyle w:val="34"/>
          <w:rFonts w:ascii="Times New Roman" w:hAnsi="Times New Roman" w:eastAsia="黑体"/>
          <w:b w:val="0"/>
          <w:bCs w:val="0"/>
          <w:color w:val="333333"/>
          <w:sz w:val="32"/>
          <w:szCs w:val="32"/>
        </w:rPr>
      </w:pPr>
      <w:r>
        <w:rPr>
          <w:rStyle w:val="34"/>
          <w:rFonts w:ascii="Times New Roman" w:hAnsi="Times New Roman" w:eastAsia="黑体"/>
          <w:b w:val="0"/>
          <w:bCs w:val="0"/>
          <w:color w:val="333333"/>
          <w:sz w:val="32"/>
          <w:szCs w:val="32"/>
        </w:rPr>
        <w:t>8 预期成效</w:t>
      </w:r>
    </w:p>
    <w:p>
      <w:pPr>
        <w:pStyle w:val="31"/>
        <w:spacing w:line="600" w:lineRule="exact"/>
        <w:ind w:firstLine="640"/>
        <w:jc w:val="both"/>
        <w:rPr>
          <w:rFonts w:ascii="Times New Roman" w:hAnsi="Times New Roman" w:eastAsia="仿宋_GB2312"/>
          <w:color w:val="333333"/>
          <w:sz w:val="32"/>
          <w:szCs w:val="32"/>
        </w:rPr>
        <w:sectPr>
          <w:headerReference r:id="rId10" w:type="first"/>
          <w:footerReference r:id="rId11" w:type="first"/>
          <w:headerReference r:id="rId8" w:type="default"/>
          <w:headerReference r:id="rId9" w:type="even"/>
          <w:pgSz w:w="11906" w:h="16838"/>
          <w:pgMar w:top="1440" w:right="1800" w:bottom="1440" w:left="1800" w:header="850" w:footer="992" w:gutter="0"/>
          <w:pgNumType w:fmt="numberInDash"/>
          <w:cols w:space="425" w:num="1"/>
          <w:titlePg/>
          <w:docGrid w:type="lines" w:linePitch="312" w:charSpace="0"/>
        </w:sectPr>
      </w:pPr>
      <w:r>
        <w:rPr>
          <w:rFonts w:ascii="Times New Roman" w:hAnsi="Times New Roman" w:eastAsia="仿宋_GB2312"/>
          <w:color w:val="333333"/>
          <w:sz w:val="32"/>
          <w:szCs w:val="32"/>
        </w:rPr>
        <w:t>分析经过风险管控后，地块及周边环境达到的预期效果。</w:t>
      </w:r>
    </w:p>
    <w:p>
      <w:pPr>
        <w:adjustRightInd/>
        <w:spacing w:line="360" w:lineRule="auto"/>
        <w:outlineLvl w:val="0"/>
        <w:rPr>
          <w:rFonts w:hint="eastAsia" w:ascii="Times New Roman" w:hAnsi="Times New Roman" w:eastAsia="黑体" w:cs="Times New Roman"/>
          <w:color w:val="000000"/>
          <w:kern w:val="0"/>
          <w:sz w:val="32"/>
          <w:szCs w:val="32"/>
          <w:lang w:bidi="ar"/>
        </w:rPr>
      </w:pPr>
      <w:bookmarkStart w:id="372" w:name="_Toc83565283"/>
      <w:bookmarkStart w:id="373" w:name="_Toc83634774"/>
      <w:bookmarkStart w:id="374" w:name="_Toc83156846"/>
      <w:r>
        <w:rPr>
          <w:rFonts w:ascii="Times New Roman" w:hAnsi="Times New Roman" w:eastAsia="黑体" w:cs="Times New Roman"/>
          <w:color w:val="000000"/>
          <w:kern w:val="0"/>
          <w:sz w:val="32"/>
          <w:szCs w:val="32"/>
          <w:lang w:bidi="ar"/>
        </w:rPr>
        <w:t>附录</w:t>
      </w:r>
      <w:r>
        <w:rPr>
          <w:rFonts w:hint="eastAsia" w:ascii="Times New Roman" w:hAnsi="Times New Roman" w:eastAsia="黑体" w:cs="Times New Roman"/>
          <w:color w:val="000000"/>
          <w:kern w:val="0"/>
          <w:sz w:val="32"/>
          <w:szCs w:val="32"/>
          <w:lang w:bidi="ar"/>
        </w:rPr>
        <w:t>D</w:t>
      </w:r>
      <w:r>
        <w:rPr>
          <w:rFonts w:ascii="Times New Roman" w:hAnsi="Times New Roman" w:eastAsia="黑体" w:cs="Times New Roman"/>
          <w:color w:val="000000"/>
          <w:kern w:val="0"/>
          <w:sz w:val="32"/>
          <w:szCs w:val="32"/>
          <w:lang w:bidi="ar"/>
        </w:rPr>
        <w:t xml:space="preserve"> 风险管控措施分类表</w:t>
      </w:r>
      <w:bookmarkEnd w:id="372"/>
      <w:bookmarkEnd w:id="373"/>
      <w:bookmarkEnd w:id="374"/>
    </w:p>
    <w:tbl>
      <w:tblPr>
        <w:tblStyle w:val="38"/>
        <w:tblW w:w="8318"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1246"/>
        <w:gridCol w:w="2379"/>
        <w:gridCol w:w="1174"/>
        <w:gridCol w:w="351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blHeader/>
          <w:jc w:val="center"/>
        </w:trPr>
        <w:tc>
          <w:tcPr>
            <w:tcW w:w="1246" w:type="dxa"/>
            <w:tcMar>
              <w:left w:w="108" w:type="dxa"/>
              <w:right w:w="108" w:type="dxa"/>
            </w:tcMar>
            <w:vAlign w:val="center"/>
          </w:tcPr>
          <w:p>
            <w:pPr>
              <w:pStyle w:val="134"/>
              <w:spacing w:line="440" w:lineRule="exact"/>
              <w:rPr>
                <w:szCs w:val="21"/>
              </w:rPr>
            </w:pPr>
            <w:r>
              <w:rPr>
                <w:rStyle w:val="34"/>
                <w:b w:val="0"/>
                <w:bCs w:val="0"/>
                <w:color w:val="333333"/>
                <w:kern w:val="0"/>
                <w:szCs w:val="21"/>
                <w:lang w:bidi="ar"/>
              </w:rPr>
              <w:t>措施类别</w:t>
            </w:r>
          </w:p>
        </w:tc>
        <w:tc>
          <w:tcPr>
            <w:tcW w:w="2379" w:type="dxa"/>
            <w:tcMar>
              <w:left w:w="108" w:type="dxa"/>
              <w:right w:w="108" w:type="dxa"/>
            </w:tcMar>
            <w:vAlign w:val="center"/>
          </w:tcPr>
          <w:p>
            <w:pPr>
              <w:pStyle w:val="134"/>
              <w:spacing w:line="440" w:lineRule="exact"/>
              <w:rPr>
                <w:szCs w:val="21"/>
              </w:rPr>
            </w:pPr>
            <w:r>
              <w:rPr>
                <w:rStyle w:val="34"/>
                <w:b w:val="0"/>
                <w:bCs w:val="0"/>
                <w:color w:val="333333"/>
                <w:kern w:val="0"/>
                <w:szCs w:val="21"/>
                <w:lang w:bidi="ar"/>
              </w:rPr>
              <w:t>管控措施</w:t>
            </w:r>
          </w:p>
        </w:tc>
        <w:tc>
          <w:tcPr>
            <w:tcW w:w="1174" w:type="dxa"/>
            <w:vAlign w:val="center"/>
          </w:tcPr>
          <w:p>
            <w:pPr>
              <w:pStyle w:val="134"/>
              <w:spacing w:line="440" w:lineRule="exact"/>
              <w:rPr>
                <w:rStyle w:val="34"/>
                <w:b w:val="0"/>
                <w:bCs w:val="0"/>
                <w:color w:val="333333"/>
                <w:kern w:val="0"/>
                <w:szCs w:val="21"/>
                <w:lang w:bidi="ar"/>
              </w:rPr>
            </w:pPr>
            <w:r>
              <w:rPr>
                <w:rStyle w:val="34"/>
                <w:b w:val="0"/>
                <w:bCs w:val="0"/>
                <w:color w:val="333333"/>
                <w:kern w:val="0"/>
                <w:szCs w:val="21"/>
                <w:lang w:bidi="ar"/>
              </w:rPr>
              <w:t>措施类型</w:t>
            </w:r>
          </w:p>
        </w:tc>
        <w:tc>
          <w:tcPr>
            <w:tcW w:w="3519" w:type="dxa"/>
            <w:tcMar>
              <w:left w:w="108" w:type="dxa"/>
              <w:right w:w="108" w:type="dxa"/>
            </w:tcMar>
            <w:vAlign w:val="center"/>
          </w:tcPr>
          <w:p>
            <w:pPr>
              <w:pStyle w:val="134"/>
              <w:spacing w:line="440" w:lineRule="exact"/>
              <w:rPr>
                <w:szCs w:val="21"/>
              </w:rPr>
            </w:pPr>
            <w:r>
              <w:rPr>
                <w:rStyle w:val="34"/>
                <w:b w:val="0"/>
                <w:bCs w:val="0"/>
                <w:color w:val="333333"/>
                <w:kern w:val="0"/>
                <w:szCs w:val="21"/>
                <w:lang w:bidi="ar"/>
              </w:rPr>
              <w:t>针对的地块特征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246" w:type="dxa"/>
            <w:vMerge w:val="restart"/>
            <w:tcMar>
              <w:left w:w="108" w:type="dxa"/>
              <w:right w:w="108" w:type="dxa"/>
            </w:tcMar>
            <w:vAlign w:val="center"/>
          </w:tcPr>
          <w:p>
            <w:pPr>
              <w:pStyle w:val="134"/>
              <w:spacing w:line="440" w:lineRule="exact"/>
              <w:rPr>
                <w:szCs w:val="21"/>
              </w:rPr>
            </w:pPr>
            <w:r>
              <w:rPr>
                <w:szCs w:val="21"/>
                <w:lang w:bidi="ar"/>
              </w:rPr>
              <w:t>初步管控</w:t>
            </w:r>
          </w:p>
        </w:tc>
        <w:tc>
          <w:tcPr>
            <w:tcW w:w="2379" w:type="dxa"/>
            <w:tcMar>
              <w:left w:w="108" w:type="dxa"/>
              <w:right w:w="108" w:type="dxa"/>
            </w:tcMar>
            <w:vAlign w:val="center"/>
          </w:tcPr>
          <w:p>
            <w:pPr>
              <w:pStyle w:val="134"/>
              <w:spacing w:line="440" w:lineRule="exact"/>
              <w:rPr>
                <w:szCs w:val="21"/>
              </w:rPr>
            </w:pPr>
            <w:r>
              <w:rPr>
                <w:szCs w:val="21"/>
                <w:lang w:bidi="ar"/>
              </w:rPr>
              <w:t>设置管控区边界围挡</w:t>
            </w:r>
          </w:p>
        </w:tc>
        <w:tc>
          <w:tcPr>
            <w:tcW w:w="1174" w:type="dxa"/>
            <w:vAlign w:val="center"/>
          </w:tcPr>
          <w:p>
            <w:pPr>
              <w:pStyle w:val="134"/>
              <w:spacing w:line="440" w:lineRule="exact"/>
              <w:rPr>
                <w:szCs w:val="21"/>
                <w:lang w:bidi="ar"/>
              </w:rPr>
            </w:pPr>
            <w:r>
              <w:rPr>
                <w:szCs w:val="21"/>
                <w:lang w:bidi="ar"/>
              </w:rPr>
              <w:t>必选措施</w:t>
            </w:r>
          </w:p>
        </w:tc>
        <w:tc>
          <w:tcPr>
            <w:tcW w:w="3519" w:type="dxa"/>
            <w:vMerge w:val="restart"/>
            <w:tcMar>
              <w:left w:w="108" w:type="dxa"/>
              <w:right w:w="108" w:type="dxa"/>
            </w:tcMar>
            <w:vAlign w:val="center"/>
          </w:tcPr>
          <w:p>
            <w:pPr>
              <w:pStyle w:val="134"/>
              <w:spacing w:line="440" w:lineRule="exact"/>
              <w:jc w:val="both"/>
              <w:rPr>
                <w:szCs w:val="21"/>
              </w:rPr>
            </w:pPr>
            <w:r>
              <w:rPr>
                <w:szCs w:val="21"/>
                <w:lang w:bidi="ar"/>
              </w:rPr>
              <w:t>所有暂不开发利用地块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246" w:type="dxa"/>
            <w:vMerge w:val="continue"/>
            <w:tcMar>
              <w:left w:w="108" w:type="dxa"/>
              <w:right w:w="108" w:type="dxa"/>
            </w:tcMar>
            <w:vAlign w:val="center"/>
          </w:tcPr>
          <w:p>
            <w:pPr>
              <w:pStyle w:val="134"/>
              <w:spacing w:line="440" w:lineRule="exact"/>
              <w:rPr>
                <w:szCs w:val="21"/>
              </w:rPr>
            </w:pPr>
          </w:p>
        </w:tc>
        <w:tc>
          <w:tcPr>
            <w:tcW w:w="2379" w:type="dxa"/>
            <w:tcMar>
              <w:left w:w="108" w:type="dxa"/>
              <w:right w:w="108" w:type="dxa"/>
            </w:tcMar>
            <w:vAlign w:val="center"/>
          </w:tcPr>
          <w:p>
            <w:pPr>
              <w:pStyle w:val="134"/>
              <w:spacing w:line="440" w:lineRule="exact"/>
              <w:rPr>
                <w:szCs w:val="21"/>
              </w:rPr>
            </w:pPr>
            <w:r>
              <w:rPr>
                <w:szCs w:val="21"/>
                <w:lang w:bidi="ar"/>
              </w:rPr>
              <w:t>设置地块信息公告牌</w:t>
            </w:r>
          </w:p>
        </w:tc>
        <w:tc>
          <w:tcPr>
            <w:tcW w:w="1174" w:type="dxa"/>
            <w:vAlign w:val="center"/>
          </w:tcPr>
          <w:p>
            <w:pPr>
              <w:pStyle w:val="134"/>
              <w:spacing w:line="440" w:lineRule="exact"/>
              <w:rPr>
                <w:szCs w:val="21"/>
                <w:lang w:bidi="ar"/>
              </w:rPr>
            </w:pPr>
            <w:r>
              <w:rPr>
                <w:szCs w:val="21"/>
                <w:lang w:bidi="ar"/>
              </w:rPr>
              <w:t>必选措施</w:t>
            </w:r>
          </w:p>
        </w:tc>
        <w:tc>
          <w:tcPr>
            <w:tcW w:w="3519" w:type="dxa"/>
            <w:vMerge w:val="continue"/>
            <w:tcMar>
              <w:left w:w="108" w:type="dxa"/>
              <w:right w:w="108" w:type="dxa"/>
            </w:tcMar>
            <w:vAlign w:val="center"/>
          </w:tcPr>
          <w:p>
            <w:pPr>
              <w:pStyle w:val="134"/>
              <w:spacing w:line="440" w:lineRule="exact"/>
              <w:jc w:val="both"/>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246" w:type="dxa"/>
            <w:vMerge w:val="continue"/>
            <w:tcMar>
              <w:left w:w="108" w:type="dxa"/>
              <w:right w:w="108" w:type="dxa"/>
            </w:tcMar>
            <w:vAlign w:val="center"/>
          </w:tcPr>
          <w:p>
            <w:pPr>
              <w:pStyle w:val="134"/>
              <w:spacing w:line="440" w:lineRule="exact"/>
              <w:rPr>
                <w:szCs w:val="21"/>
              </w:rPr>
            </w:pPr>
          </w:p>
        </w:tc>
        <w:tc>
          <w:tcPr>
            <w:tcW w:w="2379" w:type="dxa"/>
            <w:tcMar>
              <w:left w:w="108" w:type="dxa"/>
              <w:right w:w="108" w:type="dxa"/>
            </w:tcMar>
            <w:vAlign w:val="center"/>
          </w:tcPr>
          <w:p>
            <w:pPr>
              <w:pStyle w:val="134"/>
              <w:spacing w:line="440" w:lineRule="exact"/>
              <w:rPr>
                <w:szCs w:val="21"/>
              </w:rPr>
            </w:pPr>
            <w:r>
              <w:rPr>
                <w:szCs w:val="21"/>
                <w:lang w:bidi="ar"/>
              </w:rPr>
              <w:t>地块资料管理</w:t>
            </w:r>
          </w:p>
        </w:tc>
        <w:tc>
          <w:tcPr>
            <w:tcW w:w="1174" w:type="dxa"/>
            <w:vAlign w:val="center"/>
          </w:tcPr>
          <w:p>
            <w:pPr>
              <w:pStyle w:val="134"/>
              <w:spacing w:line="440" w:lineRule="exact"/>
              <w:rPr>
                <w:szCs w:val="21"/>
                <w:lang w:bidi="ar"/>
              </w:rPr>
            </w:pPr>
            <w:r>
              <w:rPr>
                <w:szCs w:val="21"/>
                <w:lang w:bidi="ar"/>
              </w:rPr>
              <w:t>必选措施</w:t>
            </w:r>
          </w:p>
        </w:tc>
        <w:tc>
          <w:tcPr>
            <w:tcW w:w="3519" w:type="dxa"/>
            <w:vMerge w:val="continue"/>
            <w:tcMar>
              <w:left w:w="108" w:type="dxa"/>
              <w:right w:w="108" w:type="dxa"/>
            </w:tcMar>
            <w:vAlign w:val="center"/>
          </w:tcPr>
          <w:p>
            <w:pPr>
              <w:pStyle w:val="134"/>
              <w:spacing w:line="440" w:lineRule="exact"/>
              <w:jc w:val="both"/>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246" w:type="dxa"/>
            <w:vMerge w:val="continue"/>
            <w:tcMar>
              <w:left w:w="108" w:type="dxa"/>
              <w:right w:w="108" w:type="dxa"/>
            </w:tcMar>
            <w:vAlign w:val="center"/>
          </w:tcPr>
          <w:p>
            <w:pPr>
              <w:pStyle w:val="134"/>
              <w:spacing w:line="440" w:lineRule="exact"/>
              <w:rPr>
                <w:szCs w:val="21"/>
              </w:rPr>
            </w:pPr>
          </w:p>
        </w:tc>
        <w:tc>
          <w:tcPr>
            <w:tcW w:w="2379" w:type="dxa"/>
            <w:tcMar>
              <w:left w:w="108" w:type="dxa"/>
              <w:right w:w="108" w:type="dxa"/>
            </w:tcMar>
            <w:vAlign w:val="center"/>
          </w:tcPr>
          <w:p>
            <w:pPr>
              <w:pStyle w:val="134"/>
              <w:spacing w:line="440" w:lineRule="exact"/>
              <w:rPr>
                <w:szCs w:val="21"/>
                <w:lang w:bidi="ar"/>
              </w:rPr>
            </w:pPr>
            <w:r>
              <w:rPr>
                <w:szCs w:val="21"/>
                <w:lang w:bidi="ar"/>
              </w:rPr>
              <w:t>配备管控人员</w:t>
            </w:r>
          </w:p>
        </w:tc>
        <w:tc>
          <w:tcPr>
            <w:tcW w:w="1174" w:type="dxa"/>
            <w:vAlign w:val="center"/>
          </w:tcPr>
          <w:p>
            <w:pPr>
              <w:pStyle w:val="134"/>
              <w:spacing w:line="440" w:lineRule="exact"/>
              <w:rPr>
                <w:szCs w:val="21"/>
                <w:lang w:bidi="ar"/>
              </w:rPr>
            </w:pPr>
            <w:r>
              <w:rPr>
                <w:szCs w:val="21"/>
                <w:lang w:bidi="ar"/>
              </w:rPr>
              <w:t>可选措施</w:t>
            </w:r>
          </w:p>
        </w:tc>
        <w:tc>
          <w:tcPr>
            <w:tcW w:w="3519" w:type="dxa"/>
            <w:tcMar>
              <w:left w:w="108" w:type="dxa"/>
              <w:right w:w="108" w:type="dxa"/>
            </w:tcMar>
            <w:vAlign w:val="center"/>
          </w:tcPr>
          <w:p>
            <w:pPr>
              <w:pStyle w:val="134"/>
              <w:spacing w:line="440" w:lineRule="exact"/>
              <w:jc w:val="both"/>
              <w:rPr>
                <w:szCs w:val="21"/>
                <w:lang w:bidi="ar"/>
              </w:rPr>
            </w:pPr>
            <w:r>
              <w:rPr>
                <w:szCs w:val="21"/>
                <w:lang w:bidi="ar"/>
              </w:rPr>
              <w:t>地块内或周边人员密集、人员与车辆来往频繁及社会关注度高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246" w:type="dxa"/>
            <w:vMerge w:val="continue"/>
            <w:tcMar>
              <w:left w:w="108" w:type="dxa"/>
              <w:right w:w="108" w:type="dxa"/>
            </w:tcMar>
            <w:vAlign w:val="center"/>
          </w:tcPr>
          <w:p>
            <w:pPr>
              <w:pStyle w:val="134"/>
              <w:spacing w:line="440" w:lineRule="exact"/>
              <w:rPr>
                <w:szCs w:val="21"/>
              </w:rPr>
            </w:pPr>
          </w:p>
        </w:tc>
        <w:tc>
          <w:tcPr>
            <w:tcW w:w="2379" w:type="dxa"/>
            <w:tcMar>
              <w:left w:w="108" w:type="dxa"/>
              <w:right w:w="108" w:type="dxa"/>
            </w:tcMar>
            <w:vAlign w:val="center"/>
          </w:tcPr>
          <w:p>
            <w:pPr>
              <w:pStyle w:val="134"/>
              <w:spacing w:line="440" w:lineRule="exact"/>
              <w:rPr>
                <w:szCs w:val="21"/>
                <w:lang w:bidi="ar"/>
              </w:rPr>
            </w:pPr>
            <w:r>
              <w:rPr>
                <w:szCs w:val="21"/>
                <w:lang w:bidi="ar"/>
              </w:rPr>
              <w:t>隔离重点区域</w:t>
            </w:r>
          </w:p>
        </w:tc>
        <w:tc>
          <w:tcPr>
            <w:tcW w:w="1174" w:type="dxa"/>
            <w:vAlign w:val="center"/>
          </w:tcPr>
          <w:p>
            <w:pPr>
              <w:pStyle w:val="134"/>
              <w:spacing w:line="440" w:lineRule="exact"/>
              <w:rPr>
                <w:szCs w:val="21"/>
                <w:lang w:bidi="ar"/>
              </w:rPr>
            </w:pPr>
            <w:r>
              <w:rPr>
                <w:szCs w:val="21"/>
                <w:lang w:bidi="ar"/>
              </w:rPr>
              <w:t>可选措施</w:t>
            </w:r>
          </w:p>
        </w:tc>
        <w:tc>
          <w:tcPr>
            <w:tcW w:w="3519" w:type="dxa"/>
            <w:tcMar>
              <w:left w:w="108" w:type="dxa"/>
              <w:right w:w="108" w:type="dxa"/>
            </w:tcMar>
            <w:vAlign w:val="center"/>
          </w:tcPr>
          <w:p>
            <w:pPr>
              <w:pStyle w:val="134"/>
              <w:spacing w:line="440" w:lineRule="exact"/>
              <w:jc w:val="both"/>
              <w:rPr>
                <w:szCs w:val="21"/>
              </w:rPr>
            </w:pPr>
            <w:r>
              <w:rPr>
                <w:szCs w:val="21"/>
                <w:lang w:bidi="ar"/>
              </w:rPr>
              <w:t>地块内存在坑洼、废弃物堆积、电力设施、工程管控作业区域等存在人员及环境安全隐患区域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246" w:type="dxa"/>
            <w:vMerge w:val="continue"/>
            <w:tcMar>
              <w:left w:w="108" w:type="dxa"/>
              <w:right w:w="108" w:type="dxa"/>
            </w:tcMar>
            <w:vAlign w:val="center"/>
          </w:tcPr>
          <w:p>
            <w:pPr>
              <w:pStyle w:val="134"/>
              <w:spacing w:line="440" w:lineRule="exact"/>
              <w:rPr>
                <w:szCs w:val="21"/>
              </w:rPr>
            </w:pPr>
          </w:p>
        </w:tc>
        <w:tc>
          <w:tcPr>
            <w:tcW w:w="2379" w:type="dxa"/>
            <w:tcMar>
              <w:left w:w="108" w:type="dxa"/>
              <w:right w:w="108" w:type="dxa"/>
            </w:tcMar>
            <w:vAlign w:val="center"/>
          </w:tcPr>
          <w:p>
            <w:pPr>
              <w:pStyle w:val="134"/>
              <w:spacing w:line="440" w:lineRule="exact"/>
              <w:rPr>
                <w:szCs w:val="21"/>
                <w:lang w:bidi="ar"/>
              </w:rPr>
            </w:pPr>
            <w:r>
              <w:rPr>
                <w:szCs w:val="21"/>
                <w:lang w:bidi="ar"/>
              </w:rPr>
              <w:t>信息监控识别</w:t>
            </w:r>
          </w:p>
        </w:tc>
        <w:tc>
          <w:tcPr>
            <w:tcW w:w="1174" w:type="dxa"/>
            <w:vAlign w:val="center"/>
          </w:tcPr>
          <w:p>
            <w:pPr>
              <w:pStyle w:val="134"/>
              <w:spacing w:line="440" w:lineRule="exact"/>
              <w:rPr>
                <w:szCs w:val="21"/>
                <w:lang w:bidi="ar"/>
              </w:rPr>
            </w:pPr>
            <w:r>
              <w:rPr>
                <w:szCs w:val="21"/>
                <w:lang w:bidi="ar"/>
              </w:rPr>
              <w:t>可选措施</w:t>
            </w:r>
          </w:p>
        </w:tc>
        <w:tc>
          <w:tcPr>
            <w:tcW w:w="3519" w:type="dxa"/>
            <w:tcMar>
              <w:left w:w="108" w:type="dxa"/>
              <w:right w:w="108" w:type="dxa"/>
            </w:tcMar>
            <w:vAlign w:val="center"/>
          </w:tcPr>
          <w:p>
            <w:pPr>
              <w:pStyle w:val="134"/>
              <w:spacing w:line="440" w:lineRule="exact"/>
              <w:jc w:val="both"/>
              <w:rPr>
                <w:szCs w:val="21"/>
              </w:rPr>
            </w:pPr>
            <w:r>
              <w:rPr>
                <w:szCs w:val="21"/>
                <w:lang w:bidi="ar"/>
              </w:rPr>
              <w:t>地块内或周边人员密集、人员与车辆来往频繁及社会关注度高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246" w:type="dxa"/>
            <w:vMerge w:val="continue"/>
            <w:tcMar>
              <w:left w:w="108" w:type="dxa"/>
              <w:right w:w="108" w:type="dxa"/>
            </w:tcMar>
            <w:vAlign w:val="center"/>
          </w:tcPr>
          <w:p>
            <w:pPr>
              <w:pStyle w:val="134"/>
              <w:spacing w:line="440" w:lineRule="exact"/>
              <w:rPr>
                <w:szCs w:val="21"/>
              </w:rPr>
            </w:pPr>
          </w:p>
        </w:tc>
        <w:tc>
          <w:tcPr>
            <w:tcW w:w="2379" w:type="dxa"/>
            <w:tcMar>
              <w:left w:w="108" w:type="dxa"/>
              <w:right w:w="108" w:type="dxa"/>
            </w:tcMar>
            <w:vAlign w:val="center"/>
          </w:tcPr>
          <w:p>
            <w:pPr>
              <w:pStyle w:val="134"/>
              <w:spacing w:line="440" w:lineRule="exact"/>
              <w:rPr>
                <w:szCs w:val="21"/>
                <w:lang w:bidi="ar"/>
              </w:rPr>
            </w:pPr>
            <w:r>
              <w:rPr>
                <w:szCs w:val="21"/>
                <w:lang w:bidi="ar"/>
              </w:rPr>
              <w:t>土工膜表层覆盖</w:t>
            </w:r>
          </w:p>
        </w:tc>
        <w:tc>
          <w:tcPr>
            <w:tcW w:w="1174" w:type="dxa"/>
            <w:vAlign w:val="center"/>
          </w:tcPr>
          <w:p>
            <w:pPr>
              <w:pStyle w:val="134"/>
              <w:spacing w:line="440" w:lineRule="exact"/>
              <w:rPr>
                <w:szCs w:val="21"/>
                <w:lang w:bidi="ar"/>
              </w:rPr>
            </w:pPr>
            <w:r>
              <w:rPr>
                <w:szCs w:val="21"/>
                <w:lang w:bidi="ar"/>
              </w:rPr>
              <w:t>可选措施</w:t>
            </w:r>
          </w:p>
        </w:tc>
        <w:tc>
          <w:tcPr>
            <w:tcW w:w="3519" w:type="dxa"/>
            <w:tcMar>
              <w:left w:w="108" w:type="dxa"/>
              <w:right w:w="108" w:type="dxa"/>
            </w:tcMar>
            <w:vAlign w:val="center"/>
          </w:tcPr>
          <w:p>
            <w:pPr>
              <w:pStyle w:val="134"/>
              <w:spacing w:line="440" w:lineRule="exact"/>
              <w:jc w:val="both"/>
              <w:rPr>
                <w:szCs w:val="21"/>
              </w:rPr>
            </w:pPr>
            <w:r>
              <w:rPr>
                <w:szCs w:val="21"/>
                <w:lang w:bidi="ar"/>
              </w:rPr>
              <w:t>地块周边空气存在异味，且对周边环境敏感目标存在影响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246" w:type="dxa"/>
            <w:vMerge w:val="continue"/>
            <w:tcMar>
              <w:left w:w="108" w:type="dxa"/>
              <w:right w:w="108" w:type="dxa"/>
            </w:tcMar>
            <w:vAlign w:val="center"/>
          </w:tcPr>
          <w:p>
            <w:pPr>
              <w:pStyle w:val="134"/>
              <w:spacing w:line="440" w:lineRule="exact"/>
              <w:rPr>
                <w:szCs w:val="21"/>
              </w:rPr>
            </w:pPr>
          </w:p>
        </w:tc>
        <w:tc>
          <w:tcPr>
            <w:tcW w:w="2379" w:type="dxa"/>
            <w:tcMar>
              <w:left w:w="108" w:type="dxa"/>
              <w:right w:w="108" w:type="dxa"/>
            </w:tcMar>
            <w:vAlign w:val="center"/>
          </w:tcPr>
          <w:p>
            <w:pPr>
              <w:pStyle w:val="134"/>
              <w:spacing w:line="440" w:lineRule="exact"/>
              <w:rPr>
                <w:szCs w:val="21"/>
                <w:lang w:bidi="ar"/>
              </w:rPr>
            </w:pPr>
            <w:r>
              <w:rPr>
                <w:szCs w:val="21"/>
                <w:lang w:bidi="ar"/>
              </w:rPr>
              <w:t>植被覆盖</w:t>
            </w:r>
          </w:p>
        </w:tc>
        <w:tc>
          <w:tcPr>
            <w:tcW w:w="1174" w:type="dxa"/>
            <w:vAlign w:val="center"/>
          </w:tcPr>
          <w:p>
            <w:pPr>
              <w:pStyle w:val="134"/>
              <w:spacing w:line="440" w:lineRule="exact"/>
              <w:rPr>
                <w:szCs w:val="21"/>
                <w:lang w:bidi="ar"/>
              </w:rPr>
            </w:pPr>
            <w:r>
              <w:rPr>
                <w:szCs w:val="21"/>
                <w:lang w:bidi="ar"/>
              </w:rPr>
              <w:t>可选措施</w:t>
            </w:r>
          </w:p>
        </w:tc>
        <w:tc>
          <w:tcPr>
            <w:tcW w:w="3519" w:type="dxa"/>
            <w:tcMar>
              <w:left w:w="108" w:type="dxa"/>
              <w:right w:w="108" w:type="dxa"/>
            </w:tcMar>
            <w:vAlign w:val="center"/>
          </w:tcPr>
          <w:p>
            <w:pPr>
              <w:pStyle w:val="134"/>
              <w:spacing w:line="440" w:lineRule="exact"/>
              <w:jc w:val="both"/>
              <w:rPr>
                <w:szCs w:val="21"/>
                <w:lang w:bidi="ar"/>
              </w:rPr>
            </w:pPr>
            <w:r>
              <w:rPr>
                <w:szCs w:val="21"/>
                <w:lang w:bidi="ar"/>
              </w:rPr>
              <w:t>地块表层土壤污染且污染物存在随降雨发生地表径流迁移风险。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246" w:type="dxa"/>
            <w:vMerge w:val="continue"/>
            <w:tcMar>
              <w:left w:w="108" w:type="dxa"/>
              <w:right w:w="108" w:type="dxa"/>
            </w:tcMar>
            <w:vAlign w:val="center"/>
          </w:tcPr>
          <w:p>
            <w:pPr>
              <w:pStyle w:val="134"/>
              <w:spacing w:line="440" w:lineRule="exact"/>
              <w:rPr>
                <w:szCs w:val="21"/>
              </w:rPr>
            </w:pPr>
          </w:p>
        </w:tc>
        <w:tc>
          <w:tcPr>
            <w:tcW w:w="2379" w:type="dxa"/>
            <w:tcMar>
              <w:left w:w="108" w:type="dxa"/>
              <w:right w:w="108" w:type="dxa"/>
            </w:tcMar>
            <w:vAlign w:val="center"/>
          </w:tcPr>
          <w:p>
            <w:pPr>
              <w:pStyle w:val="134"/>
              <w:spacing w:line="440" w:lineRule="exact"/>
              <w:rPr>
                <w:szCs w:val="21"/>
                <w:lang w:bidi="ar"/>
              </w:rPr>
            </w:pPr>
            <w:r>
              <w:rPr>
                <w:szCs w:val="21"/>
                <w:lang w:bidi="ar"/>
              </w:rPr>
              <w:t>防尘网铺设</w:t>
            </w:r>
          </w:p>
        </w:tc>
        <w:tc>
          <w:tcPr>
            <w:tcW w:w="1174" w:type="dxa"/>
            <w:vAlign w:val="center"/>
          </w:tcPr>
          <w:p>
            <w:pPr>
              <w:pStyle w:val="134"/>
              <w:spacing w:line="440" w:lineRule="exact"/>
              <w:rPr>
                <w:szCs w:val="21"/>
                <w:lang w:bidi="ar"/>
              </w:rPr>
            </w:pPr>
            <w:r>
              <w:rPr>
                <w:szCs w:val="21"/>
                <w:lang w:bidi="ar"/>
              </w:rPr>
              <w:t>可选措施</w:t>
            </w:r>
          </w:p>
        </w:tc>
        <w:tc>
          <w:tcPr>
            <w:tcW w:w="3519" w:type="dxa"/>
            <w:tcMar>
              <w:left w:w="108" w:type="dxa"/>
              <w:right w:w="108" w:type="dxa"/>
            </w:tcMar>
            <w:vAlign w:val="center"/>
          </w:tcPr>
          <w:p>
            <w:pPr>
              <w:pStyle w:val="134"/>
              <w:spacing w:line="440" w:lineRule="exact"/>
              <w:jc w:val="both"/>
              <w:rPr>
                <w:szCs w:val="21"/>
              </w:rPr>
            </w:pPr>
            <w:r>
              <w:rPr>
                <w:szCs w:val="21"/>
                <w:lang w:bidi="ar"/>
              </w:rPr>
              <w:t>地块内地表裸露、无植被覆盖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246" w:type="dxa"/>
            <w:vMerge w:val="restart"/>
            <w:tcMar>
              <w:left w:w="108" w:type="dxa"/>
              <w:right w:w="108" w:type="dxa"/>
            </w:tcMar>
            <w:vAlign w:val="center"/>
          </w:tcPr>
          <w:p>
            <w:pPr>
              <w:pStyle w:val="134"/>
              <w:spacing w:line="440" w:lineRule="exact"/>
              <w:rPr>
                <w:szCs w:val="21"/>
              </w:rPr>
            </w:pPr>
            <w:r>
              <w:rPr>
                <w:szCs w:val="21"/>
                <w:lang w:bidi="ar"/>
              </w:rPr>
              <w:t>工程管控</w:t>
            </w:r>
          </w:p>
        </w:tc>
        <w:tc>
          <w:tcPr>
            <w:tcW w:w="2379" w:type="dxa"/>
            <w:tcMar>
              <w:left w:w="108" w:type="dxa"/>
              <w:right w:w="108" w:type="dxa"/>
            </w:tcMar>
            <w:vAlign w:val="center"/>
          </w:tcPr>
          <w:p>
            <w:pPr>
              <w:pStyle w:val="134"/>
              <w:spacing w:line="440" w:lineRule="exact"/>
              <w:rPr>
                <w:szCs w:val="21"/>
                <w:lang w:bidi="ar"/>
              </w:rPr>
            </w:pPr>
            <w:r>
              <w:rPr>
                <w:szCs w:val="21"/>
                <w:lang w:bidi="ar"/>
              </w:rPr>
              <w:t>垂直阻隔工程</w:t>
            </w:r>
          </w:p>
        </w:tc>
        <w:tc>
          <w:tcPr>
            <w:tcW w:w="1174" w:type="dxa"/>
            <w:vAlign w:val="center"/>
          </w:tcPr>
          <w:p>
            <w:pPr>
              <w:pStyle w:val="134"/>
              <w:spacing w:line="440" w:lineRule="exact"/>
              <w:rPr>
                <w:szCs w:val="21"/>
                <w:lang w:bidi="ar"/>
              </w:rPr>
            </w:pPr>
            <w:r>
              <w:rPr>
                <w:szCs w:val="21"/>
                <w:lang w:bidi="ar"/>
              </w:rPr>
              <w:t>可选措施</w:t>
            </w:r>
          </w:p>
        </w:tc>
        <w:tc>
          <w:tcPr>
            <w:tcW w:w="3519" w:type="dxa"/>
            <w:tcMar>
              <w:left w:w="108" w:type="dxa"/>
              <w:right w:w="108" w:type="dxa"/>
            </w:tcMar>
            <w:vAlign w:val="center"/>
          </w:tcPr>
          <w:p>
            <w:pPr>
              <w:pStyle w:val="134"/>
              <w:spacing w:line="440" w:lineRule="exact"/>
              <w:jc w:val="both"/>
              <w:rPr>
                <w:szCs w:val="21"/>
              </w:rPr>
            </w:pPr>
            <w:r>
              <w:rPr>
                <w:szCs w:val="21"/>
                <w:lang w:bidi="ar"/>
              </w:rPr>
              <w:t>高风险地块，且地块存在污染物水平方向扩散迁移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246" w:type="dxa"/>
            <w:vMerge w:val="continue"/>
            <w:tcMar>
              <w:left w:w="108" w:type="dxa"/>
              <w:right w:w="108" w:type="dxa"/>
            </w:tcMar>
            <w:vAlign w:val="center"/>
          </w:tcPr>
          <w:p>
            <w:pPr>
              <w:pStyle w:val="134"/>
              <w:spacing w:line="440" w:lineRule="exact"/>
              <w:rPr>
                <w:szCs w:val="21"/>
                <w:lang w:bidi="ar"/>
              </w:rPr>
            </w:pPr>
          </w:p>
        </w:tc>
        <w:tc>
          <w:tcPr>
            <w:tcW w:w="2379" w:type="dxa"/>
            <w:tcMar>
              <w:left w:w="108" w:type="dxa"/>
              <w:right w:w="108" w:type="dxa"/>
            </w:tcMar>
            <w:vAlign w:val="center"/>
          </w:tcPr>
          <w:p>
            <w:pPr>
              <w:pStyle w:val="134"/>
              <w:spacing w:line="440" w:lineRule="exact"/>
              <w:rPr>
                <w:szCs w:val="21"/>
                <w:lang w:bidi="ar"/>
              </w:rPr>
            </w:pPr>
            <w:r>
              <w:rPr>
                <w:szCs w:val="21"/>
                <w:lang w:bidi="ar"/>
              </w:rPr>
              <w:t>水平阻隔工程</w:t>
            </w:r>
          </w:p>
        </w:tc>
        <w:tc>
          <w:tcPr>
            <w:tcW w:w="1174" w:type="dxa"/>
            <w:vAlign w:val="center"/>
          </w:tcPr>
          <w:p>
            <w:pPr>
              <w:pStyle w:val="134"/>
              <w:spacing w:line="440" w:lineRule="exact"/>
              <w:rPr>
                <w:szCs w:val="21"/>
                <w:lang w:bidi="ar"/>
              </w:rPr>
            </w:pPr>
            <w:r>
              <w:rPr>
                <w:szCs w:val="21"/>
                <w:lang w:bidi="ar"/>
              </w:rPr>
              <w:t>可选措施</w:t>
            </w:r>
          </w:p>
        </w:tc>
        <w:tc>
          <w:tcPr>
            <w:tcW w:w="3519" w:type="dxa"/>
            <w:tcMar>
              <w:left w:w="108" w:type="dxa"/>
              <w:right w:w="108" w:type="dxa"/>
            </w:tcMar>
            <w:vAlign w:val="center"/>
          </w:tcPr>
          <w:p>
            <w:pPr>
              <w:pStyle w:val="134"/>
              <w:spacing w:line="440" w:lineRule="exact"/>
              <w:jc w:val="both"/>
              <w:rPr>
                <w:szCs w:val="21"/>
                <w:lang w:bidi="ar"/>
              </w:rPr>
            </w:pPr>
            <w:r>
              <w:rPr>
                <w:szCs w:val="21"/>
                <w:lang w:bidi="ar"/>
              </w:rPr>
              <w:t>高风险地块，且地块存在污染物垂直方向扩散迁移</w:t>
            </w:r>
          </w:p>
        </w:tc>
      </w:tr>
    </w:tbl>
    <w:p>
      <w:pPr>
        <w:rPr>
          <w:rFonts w:ascii="Times New Roman" w:hAnsi="Times New Roman" w:cs="Times New Roman"/>
        </w:rPr>
      </w:pPr>
    </w:p>
    <w:p>
      <w:pPr>
        <w:rPr>
          <w:rFonts w:ascii="Times New Roman" w:hAnsi="Times New Roman" w:cs="Times New Roman"/>
        </w:rPr>
        <w:sectPr>
          <w:footerReference r:id="rId12" w:type="first"/>
          <w:pgSz w:w="11906" w:h="16838"/>
          <w:pgMar w:top="1440" w:right="1800" w:bottom="1440" w:left="1800" w:header="850" w:footer="992" w:gutter="0"/>
          <w:pgNumType w:fmt="numberInDash"/>
          <w:cols w:space="425" w:num="1"/>
          <w:titlePg/>
          <w:docGrid w:type="lines" w:linePitch="312" w:charSpace="0"/>
        </w:sectPr>
      </w:pPr>
    </w:p>
    <w:p>
      <w:pPr>
        <w:adjustRightInd/>
        <w:spacing w:line="360" w:lineRule="auto"/>
        <w:outlineLvl w:val="0"/>
        <w:rPr>
          <w:rFonts w:hint="eastAsia" w:ascii="Times New Roman" w:hAnsi="Times New Roman" w:eastAsia="黑体" w:cs="Times New Roman"/>
          <w:color w:val="000000"/>
          <w:kern w:val="0"/>
          <w:sz w:val="32"/>
          <w:szCs w:val="32"/>
          <w:lang w:bidi="ar"/>
        </w:rPr>
      </w:pPr>
      <w:bookmarkStart w:id="375" w:name="_Toc83634770"/>
      <w:bookmarkStart w:id="376" w:name="_Toc83156842"/>
      <w:bookmarkStart w:id="377" w:name="_Toc83565279"/>
      <w:bookmarkStart w:id="378" w:name="_Toc83565284"/>
      <w:bookmarkStart w:id="379" w:name="_Toc83634775"/>
      <w:bookmarkStart w:id="380" w:name="_Toc83156847"/>
      <w:r>
        <w:rPr>
          <w:rFonts w:ascii="Times New Roman" w:hAnsi="Times New Roman" w:eastAsia="黑体" w:cs="Times New Roman"/>
          <w:color w:val="000000"/>
          <w:kern w:val="0"/>
          <w:sz w:val="32"/>
          <w:szCs w:val="32"/>
          <w:lang w:bidi="ar"/>
        </w:rPr>
        <w:t>附录</w:t>
      </w:r>
      <w:r>
        <w:rPr>
          <w:rFonts w:hint="eastAsia" w:ascii="Times New Roman" w:hAnsi="Times New Roman" w:eastAsia="黑体" w:cs="Times New Roman"/>
          <w:color w:val="000000"/>
          <w:kern w:val="0"/>
          <w:sz w:val="32"/>
          <w:szCs w:val="32"/>
          <w:lang w:bidi="ar"/>
        </w:rPr>
        <w:t>E</w:t>
      </w:r>
      <w:r>
        <w:rPr>
          <w:rFonts w:ascii="Times New Roman" w:hAnsi="Times New Roman" w:eastAsia="黑体" w:cs="Times New Roman"/>
          <w:color w:val="000000"/>
          <w:kern w:val="0"/>
          <w:sz w:val="32"/>
          <w:szCs w:val="32"/>
          <w:lang w:bidi="ar"/>
        </w:rPr>
        <w:t xml:space="preserve"> 信息公开标识牌</w:t>
      </w:r>
      <w:bookmarkEnd w:id="375"/>
      <w:bookmarkEnd w:id="376"/>
      <w:bookmarkEnd w:id="377"/>
    </w:p>
    <w:p>
      <w:pPr>
        <w:pStyle w:val="134"/>
      </w:pPr>
      <w:r>
        <w:drawing>
          <wp:inline distT="0" distB="0" distL="0" distR="0">
            <wp:extent cx="5274310" cy="4580255"/>
            <wp:effectExtent l="0" t="0" r="254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274310" cy="4580255"/>
                    </a:xfrm>
                    <a:prstGeom prst="rect">
                      <a:avLst/>
                    </a:prstGeom>
                  </pic:spPr>
                </pic:pic>
              </a:graphicData>
            </a:graphic>
          </wp:inline>
        </w:drawing>
      </w:r>
    </w:p>
    <w:p>
      <w:pPr>
        <w:widowControl/>
        <w:adjustRightInd/>
        <w:spacing w:line="240" w:lineRule="auto"/>
        <w:jc w:val="left"/>
        <w:rPr>
          <w:rFonts w:ascii="Times New Roman" w:hAnsi="Times New Roman" w:cs="Times New Roman"/>
          <w:szCs w:val="24"/>
        </w:rPr>
      </w:pPr>
      <w:r>
        <w:rPr>
          <w:rFonts w:ascii="Times New Roman" w:hAnsi="Times New Roman" w:cs="Times New Roman"/>
        </w:rPr>
        <w:br w:type="page"/>
      </w:r>
    </w:p>
    <w:p>
      <w:pPr>
        <w:snapToGrid w:val="0"/>
        <w:spacing w:before="326" w:beforeLines="100" w:after="326" w:afterLines="100"/>
        <w:jc w:val="center"/>
        <w:outlineLvl w:val="0"/>
        <w:rPr>
          <w:rFonts w:ascii="Times New Roman" w:hAnsi="Times New Roman" w:eastAsia="黑体" w:cs="Times New Roman"/>
          <w:color w:val="000000"/>
          <w:kern w:val="0"/>
          <w:sz w:val="32"/>
          <w:szCs w:val="32"/>
          <w:lang w:bidi="ar"/>
        </w:rPr>
        <w:sectPr>
          <w:pgSz w:w="11906" w:h="16838"/>
          <w:pgMar w:top="1440" w:right="1800" w:bottom="1440" w:left="1800" w:header="851" w:footer="992" w:gutter="0"/>
          <w:pgNumType w:fmt="numberInDash"/>
          <w:cols w:space="720" w:num="1"/>
          <w:docGrid w:type="lines" w:linePitch="326" w:charSpace="0"/>
        </w:sectPr>
      </w:pPr>
    </w:p>
    <w:p>
      <w:pPr>
        <w:adjustRightInd/>
        <w:spacing w:line="360" w:lineRule="auto"/>
        <w:outlineLvl w:val="0"/>
        <w:rPr>
          <w:rFonts w:hint="eastAsia" w:ascii="Times New Roman" w:hAnsi="Times New Roman" w:eastAsia="黑体" w:cs="Times New Roman"/>
          <w:color w:val="000000"/>
          <w:kern w:val="0"/>
          <w:sz w:val="32"/>
          <w:szCs w:val="32"/>
          <w:lang w:bidi="ar"/>
        </w:rPr>
      </w:pPr>
      <w:r>
        <w:rPr>
          <w:rFonts w:ascii="Times New Roman" w:hAnsi="Times New Roman" w:eastAsia="黑体" w:cs="Times New Roman"/>
          <w:color w:val="000000"/>
          <w:kern w:val="0"/>
          <w:sz w:val="32"/>
          <w:szCs w:val="32"/>
          <w:lang w:bidi="ar"/>
        </w:rPr>
        <w:t>附录F 不同类型阻隔技术的特点及适用性</w:t>
      </w:r>
      <w:bookmarkEnd w:id="378"/>
      <w:bookmarkEnd w:id="379"/>
      <w:bookmarkEnd w:id="380"/>
    </w:p>
    <w:tbl>
      <w:tblPr>
        <w:tblStyle w:val="38"/>
        <w:tblW w:w="8926"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1017"/>
        <w:gridCol w:w="993"/>
        <w:gridCol w:w="994"/>
        <w:gridCol w:w="993"/>
        <w:gridCol w:w="991"/>
        <w:gridCol w:w="393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340" w:hRule="atLeast"/>
          <w:tblHeader/>
          <w:jc w:val="center"/>
        </w:trPr>
        <w:tc>
          <w:tcPr>
            <w:tcW w:w="1017" w:type="dxa"/>
            <w:vAlign w:val="center"/>
          </w:tcPr>
          <w:p>
            <w:pPr>
              <w:pStyle w:val="134"/>
              <w:spacing w:line="360" w:lineRule="auto"/>
              <w:rPr>
                <w:szCs w:val="21"/>
              </w:rPr>
            </w:pPr>
            <w:bookmarkStart w:id="381" w:name="_Hlk70035603"/>
            <w:r>
              <w:rPr>
                <w:szCs w:val="21"/>
              </w:rPr>
              <w:t>技术类别</w:t>
            </w:r>
          </w:p>
        </w:tc>
        <w:tc>
          <w:tcPr>
            <w:tcW w:w="993" w:type="dxa"/>
            <w:vAlign w:val="center"/>
          </w:tcPr>
          <w:p>
            <w:pPr>
              <w:pStyle w:val="134"/>
              <w:spacing w:line="360" w:lineRule="auto"/>
              <w:rPr>
                <w:szCs w:val="21"/>
              </w:rPr>
            </w:pPr>
            <w:r>
              <w:rPr>
                <w:szCs w:val="21"/>
              </w:rPr>
              <w:t>技术种类</w:t>
            </w:r>
          </w:p>
        </w:tc>
        <w:tc>
          <w:tcPr>
            <w:tcW w:w="994" w:type="dxa"/>
            <w:vAlign w:val="center"/>
          </w:tcPr>
          <w:p>
            <w:pPr>
              <w:pStyle w:val="134"/>
              <w:spacing w:line="360" w:lineRule="auto"/>
              <w:rPr>
                <w:szCs w:val="21"/>
              </w:rPr>
            </w:pPr>
            <w:r>
              <w:rPr>
                <w:szCs w:val="21"/>
              </w:rPr>
              <w:t>适用介质类型</w:t>
            </w:r>
          </w:p>
        </w:tc>
        <w:tc>
          <w:tcPr>
            <w:tcW w:w="993" w:type="dxa"/>
            <w:vAlign w:val="center"/>
          </w:tcPr>
          <w:p>
            <w:pPr>
              <w:pStyle w:val="134"/>
              <w:spacing w:line="360" w:lineRule="auto"/>
              <w:rPr>
                <w:szCs w:val="21"/>
              </w:rPr>
            </w:pPr>
            <w:r>
              <w:rPr>
                <w:szCs w:val="21"/>
              </w:rPr>
              <w:t>适用地块类型</w:t>
            </w:r>
          </w:p>
        </w:tc>
        <w:tc>
          <w:tcPr>
            <w:tcW w:w="991" w:type="dxa"/>
            <w:vAlign w:val="center"/>
          </w:tcPr>
          <w:p>
            <w:pPr>
              <w:pStyle w:val="134"/>
              <w:spacing w:line="360" w:lineRule="auto"/>
              <w:rPr>
                <w:szCs w:val="21"/>
              </w:rPr>
            </w:pPr>
            <w:r>
              <w:rPr>
                <w:szCs w:val="21"/>
              </w:rPr>
              <w:t>适用目标</w:t>
            </w:r>
          </w:p>
        </w:tc>
        <w:tc>
          <w:tcPr>
            <w:tcW w:w="3938" w:type="dxa"/>
            <w:vAlign w:val="center"/>
          </w:tcPr>
          <w:p>
            <w:pPr>
              <w:pStyle w:val="134"/>
              <w:spacing w:line="360" w:lineRule="auto"/>
              <w:rPr>
                <w:szCs w:val="21"/>
              </w:rPr>
            </w:pPr>
            <w:r>
              <w:rPr>
                <w:szCs w:val="21"/>
              </w:rPr>
              <w:t>技术特征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340" w:hRule="atLeast"/>
          <w:jc w:val="center"/>
        </w:trPr>
        <w:tc>
          <w:tcPr>
            <w:tcW w:w="1017" w:type="dxa"/>
            <w:vMerge w:val="restart"/>
            <w:vAlign w:val="center"/>
          </w:tcPr>
          <w:p>
            <w:pPr>
              <w:pStyle w:val="134"/>
              <w:spacing w:line="360" w:lineRule="auto"/>
              <w:rPr>
                <w:szCs w:val="21"/>
              </w:rPr>
            </w:pPr>
            <w:r>
              <w:rPr>
                <w:szCs w:val="21"/>
              </w:rPr>
              <w:t>垂直</w:t>
            </w:r>
          </w:p>
          <w:p>
            <w:pPr>
              <w:pStyle w:val="134"/>
              <w:spacing w:line="360" w:lineRule="auto"/>
              <w:rPr>
                <w:szCs w:val="21"/>
              </w:rPr>
            </w:pPr>
            <w:r>
              <w:rPr>
                <w:szCs w:val="21"/>
              </w:rPr>
              <w:t>阻隔技术</w:t>
            </w:r>
          </w:p>
        </w:tc>
        <w:tc>
          <w:tcPr>
            <w:tcW w:w="993" w:type="dxa"/>
            <w:vAlign w:val="center"/>
          </w:tcPr>
          <w:p>
            <w:pPr>
              <w:pStyle w:val="134"/>
              <w:spacing w:line="360" w:lineRule="auto"/>
              <w:rPr>
                <w:szCs w:val="21"/>
              </w:rPr>
            </w:pPr>
            <w:r>
              <w:rPr>
                <w:szCs w:val="21"/>
              </w:rPr>
              <w:t>土-膨润土隔离墙</w:t>
            </w:r>
          </w:p>
        </w:tc>
        <w:tc>
          <w:tcPr>
            <w:tcW w:w="994" w:type="dxa"/>
            <w:vAlign w:val="center"/>
          </w:tcPr>
          <w:p>
            <w:pPr>
              <w:pStyle w:val="134"/>
              <w:spacing w:line="360" w:lineRule="auto"/>
              <w:rPr>
                <w:szCs w:val="21"/>
              </w:rPr>
            </w:pPr>
            <w:r>
              <w:rPr>
                <w:szCs w:val="21"/>
              </w:rPr>
              <w:t>各类岩土地</w:t>
            </w:r>
            <w:r>
              <w:rPr>
                <w:spacing w:val="-3"/>
                <w:szCs w:val="21"/>
              </w:rPr>
              <w:t>层，包括砂</w:t>
            </w:r>
            <w:r>
              <w:rPr>
                <w:szCs w:val="21"/>
              </w:rPr>
              <w:t>卵石</w:t>
            </w:r>
            <w:r>
              <w:rPr>
                <w:spacing w:val="-3"/>
                <w:szCs w:val="21"/>
              </w:rPr>
              <w:t>层、碎石土层、砂土层、</w:t>
            </w:r>
            <w:r>
              <w:rPr>
                <w:szCs w:val="21"/>
              </w:rPr>
              <w:t>粉土层</w:t>
            </w:r>
          </w:p>
        </w:tc>
        <w:tc>
          <w:tcPr>
            <w:tcW w:w="993" w:type="dxa"/>
            <w:vAlign w:val="center"/>
          </w:tcPr>
          <w:p>
            <w:pPr>
              <w:pStyle w:val="134"/>
              <w:spacing w:line="360" w:lineRule="auto"/>
              <w:rPr>
                <w:szCs w:val="21"/>
              </w:rPr>
            </w:pPr>
            <w:r>
              <w:rPr>
                <w:szCs w:val="21"/>
              </w:rPr>
              <w:t>垃圾填埋地</w:t>
            </w:r>
            <w:r>
              <w:rPr>
                <w:spacing w:val="-3"/>
                <w:szCs w:val="21"/>
              </w:rPr>
              <w:t>块、</w:t>
            </w:r>
            <w:r>
              <w:rPr>
                <w:szCs w:val="21"/>
              </w:rPr>
              <w:t>重金属污染</w:t>
            </w:r>
            <w:r>
              <w:rPr>
                <w:spacing w:val="-3"/>
                <w:szCs w:val="21"/>
              </w:rPr>
              <w:t>地块、有机</w:t>
            </w:r>
            <w:r>
              <w:rPr>
                <w:szCs w:val="21"/>
              </w:rPr>
              <w:t>污染</w:t>
            </w:r>
            <w:r>
              <w:rPr>
                <w:spacing w:val="-3"/>
                <w:szCs w:val="21"/>
              </w:rPr>
              <w:t>地块等；场地地表坡度</w:t>
            </w:r>
            <w:r>
              <w:rPr>
                <w:spacing w:val="-18"/>
                <w:szCs w:val="21"/>
              </w:rPr>
              <w:t xml:space="preserve">小于 </w:t>
            </w:r>
            <w:r>
              <w:rPr>
                <w:szCs w:val="21"/>
              </w:rPr>
              <w:t>1:10</w:t>
            </w:r>
          </w:p>
        </w:tc>
        <w:tc>
          <w:tcPr>
            <w:tcW w:w="991" w:type="dxa"/>
            <w:vAlign w:val="center"/>
          </w:tcPr>
          <w:p>
            <w:pPr>
              <w:pStyle w:val="134"/>
              <w:spacing w:line="360" w:lineRule="auto"/>
              <w:rPr>
                <w:szCs w:val="21"/>
              </w:rPr>
            </w:pPr>
            <w:r>
              <w:rPr>
                <w:szCs w:val="21"/>
              </w:rPr>
              <w:t>污染地块长期阻隔</w:t>
            </w:r>
          </w:p>
        </w:tc>
        <w:tc>
          <w:tcPr>
            <w:tcW w:w="3938" w:type="dxa"/>
            <w:vAlign w:val="center"/>
          </w:tcPr>
          <w:p>
            <w:pPr>
              <w:pStyle w:val="134"/>
              <w:spacing w:line="360" w:lineRule="auto"/>
              <w:jc w:val="both"/>
              <w:rPr>
                <w:szCs w:val="21"/>
              </w:rPr>
            </w:pPr>
            <w:r>
              <w:rPr>
                <w:spacing w:val="-2"/>
                <w:szCs w:val="21"/>
              </w:rPr>
              <w:t>优点：防渗性能好，渗透系</w:t>
            </w:r>
            <w:r>
              <w:rPr>
                <w:spacing w:val="-14"/>
                <w:szCs w:val="21"/>
              </w:rPr>
              <w:t xml:space="preserve">数可达 </w:t>
            </w:r>
            <w:r>
              <w:rPr>
                <w:szCs w:val="21"/>
              </w:rPr>
              <w:t>10</w:t>
            </w:r>
            <w:r>
              <w:rPr>
                <w:position w:val="8"/>
                <w:szCs w:val="21"/>
              </w:rPr>
              <w:t>-</w:t>
            </w:r>
            <w:r>
              <w:rPr>
                <w:szCs w:val="21"/>
                <w:vertAlign w:val="superscript"/>
              </w:rPr>
              <w:t>7</w:t>
            </w:r>
            <w:r>
              <w:rPr>
                <w:szCs w:val="21"/>
              </w:rPr>
              <w:t xml:space="preserve"> cm/s；软塑性墙</w:t>
            </w:r>
            <w:r>
              <w:rPr>
                <w:spacing w:val="-2"/>
                <w:szCs w:val="21"/>
              </w:rPr>
              <w:t>体材料与两侧岩土体无缝接</w:t>
            </w:r>
            <w:r>
              <w:rPr>
                <w:szCs w:val="21"/>
              </w:rPr>
              <w:t>触；工程造价低；施工简</w:t>
            </w:r>
            <w:r>
              <w:rPr>
                <w:spacing w:val="-2"/>
                <w:szCs w:val="21"/>
              </w:rPr>
              <w:t>便，工艺成熟；施工深度可</w:t>
            </w:r>
            <w:r>
              <w:rPr>
                <w:spacing w:val="-27"/>
                <w:szCs w:val="21"/>
              </w:rPr>
              <w:t xml:space="preserve">达 </w:t>
            </w:r>
            <w:r>
              <w:rPr>
                <w:szCs w:val="21"/>
              </w:rPr>
              <w:t>30 m以上。</w:t>
            </w:r>
          </w:p>
          <w:p>
            <w:pPr>
              <w:pStyle w:val="134"/>
              <w:spacing w:line="360" w:lineRule="auto"/>
              <w:jc w:val="both"/>
              <w:rPr>
                <w:szCs w:val="21"/>
              </w:rPr>
            </w:pPr>
            <w:r>
              <w:rPr>
                <w:szCs w:val="21"/>
              </w:rPr>
              <w:t>缺点：1）墙体材料软弱，上部承载力小；</w:t>
            </w:r>
          </w:p>
          <w:p>
            <w:pPr>
              <w:pStyle w:val="134"/>
              <w:spacing w:line="360" w:lineRule="auto"/>
              <w:jc w:val="both"/>
              <w:rPr>
                <w:szCs w:val="21"/>
              </w:rPr>
            </w:pPr>
            <w:r>
              <w:rPr>
                <w:szCs w:val="21"/>
              </w:rPr>
              <w:t>2）地下水位线以上的墙体可能存在干缩裂缝，应采取防护措施。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340" w:hRule="atLeast"/>
          <w:jc w:val="center"/>
        </w:trPr>
        <w:tc>
          <w:tcPr>
            <w:tcW w:w="1017" w:type="dxa"/>
            <w:vMerge w:val="continue"/>
            <w:vAlign w:val="center"/>
          </w:tcPr>
          <w:p>
            <w:pPr>
              <w:pStyle w:val="134"/>
              <w:spacing w:line="360" w:lineRule="auto"/>
              <w:rPr>
                <w:szCs w:val="21"/>
              </w:rPr>
            </w:pPr>
          </w:p>
        </w:tc>
        <w:tc>
          <w:tcPr>
            <w:tcW w:w="993" w:type="dxa"/>
            <w:vAlign w:val="center"/>
          </w:tcPr>
          <w:p>
            <w:pPr>
              <w:pStyle w:val="134"/>
              <w:spacing w:line="360" w:lineRule="auto"/>
              <w:rPr>
                <w:szCs w:val="21"/>
              </w:rPr>
            </w:pPr>
            <w:r>
              <w:rPr>
                <w:szCs w:val="21"/>
              </w:rPr>
              <w:t>水泥-膨润土隔离墙</w:t>
            </w:r>
          </w:p>
        </w:tc>
        <w:tc>
          <w:tcPr>
            <w:tcW w:w="994" w:type="dxa"/>
            <w:vAlign w:val="center"/>
          </w:tcPr>
          <w:p>
            <w:pPr>
              <w:pStyle w:val="134"/>
              <w:spacing w:line="360" w:lineRule="auto"/>
              <w:rPr>
                <w:szCs w:val="21"/>
              </w:rPr>
            </w:pPr>
            <w:r>
              <w:rPr>
                <w:szCs w:val="21"/>
              </w:rPr>
              <w:t>各类岩土地层、包括砂卵石层、碎石土层、砂土层、粉土层</w:t>
            </w:r>
          </w:p>
        </w:tc>
        <w:tc>
          <w:tcPr>
            <w:tcW w:w="993" w:type="dxa"/>
            <w:vAlign w:val="center"/>
          </w:tcPr>
          <w:p>
            <w:pPr>
              <w:pStyle w:val="134"/>
              <w:spacing w:line="360" w:lineRule="auto"/>
              <w:rPr>
                <w:szCs w:val="21"/>
              </w:rPr>
            </w:pPr>
            <w:r>
              <w:rPr>
                <w:szCs w:val="21"/>
              </w:rPr>
              <w:t>垃圾填埋场地、重金属污染地块、有机污染地块等</w:t>
            </w:r>
          </w:p>
        </w:tc>
        <w:tc>
          <w:tcPr>
            <w:tcW w:w="991" w:type="dxa"/>
            <w:vAlign w:val="center"/>
          </w:tcPr>
          <w:p>
            <w:pPr>
              <w:pStyle w:val="134"/>
              <w:spacing w:line="360" w:lineRule="auto"/>
              <w:rPr>
                <w:szCs w:val="21"/>
              </w:rPr>
            </w:pPr>
            <w:r>
              <w:rPr>
                <w:szCs w:val="21"/>
              </w:rPr>
              <w:t>污染地块长期阻隔</w:t>
            </w:r>
          </w:p>
        </w:tc>
        <w:tc>
          <w:tcPr>
            <w:tcW w:w="3938" w:type="dxa"/>
            <w:vAlign w:val="center"/>
          </w:tcPr>
          <w:p>
            <w:pPr>
              <w:pStyle w:val="134"/>
              <w:spacing w:line="360" w:lineRule="auto"/>
              <w:jc w:val="both"/>
              <w:rPr>
                <w:szCs w:val="21"/>
              </w:rPr>
            </w:pPr>
            <w:r>
              <w:rPr>
                <w:szCs w:val="21"/>
              </w:rPr>
              <w:t>优点：防渗性能好，渗透系数约为10</w:t>
            </w:r>
            <w:r>
              <w:rPr>
                <w:szCs w:val="21"/>
                <w:vertAlign w:val="superscript"/>
              </w:rPr>
              <w:t>-6</w:t>
            </w:r>
            <w:r>
              <w:rPr>
                <w:szCs w:val="21"/>
              </w:rPr>
              <w:t xml:space="preserve"> cm/s，通过回填材料改性，渗透系数可达10</w:t>
            </w:r>
            <w:r>
              <w:rPr>
                <w:szCs w:val="21"/>
                <w:vertAlign w:val="superscript"/>
              </w:rPr>
              <w:t>-7</w:t>
            </w:r>
            <w:r>
              <w:rPr>
                <w:szCs w:val="21"/>
              </w:rPr>
              <w:t xml:space="preserve"> cm/s；墙体材料强度高，压缩性低，可用于斜坡场地。</w:t>
            </w:r>
          </w:p>
          <w:p>
            <w:pPr>
              <w:pStyle w:val="134"/>
              <w:spacing w:line="360" w:lineRule="auto"/>
              <w:jc w:val="both"/>
              <w:rPr>
                <w:szCs w:val="21"/>
              </w:rPr>
            </w:pPr>
            <w:r>
              <w:rPr>
                <w:szCs w:val="21"/>
              </w:rPr>
              <w:t>缺点：受地块限制，一般用于平地。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340" w:hRule="atLeast"/>
          <w:jc w:val="center"/>
        </w:trPr>
        <w:tc>
          <w:tcPr>
            <w:tcW w:w="1017" w:type="dxa"/>
            <w:vMerge w:val="continue"/>
            <w:vAlign w:val="center"/>
          </w:tcPr>
          <w:p>
            <w:pPr>
              <w:pStyle w:val="134"/>
              <w:spacing w:line="360" w:lineRule="auto"/>
              <w:rPr>
                <w:kern w:val="0"/>
                <w:szCs w:val="21"/>
              </w:rPr>
            </w:pPr>
          </w:p>
        </w:tc>
        <w:tc>
          <w:tcPr>
            <w:tcW w:w="993" w:type="dxa"/>
            <w:vAlign w:val="center"/>
          </w:tcPr>
          <w:p>
            <w:pPr>
              <w:pStyle w:val="134"/>
              <w:spacing w:line="360" w:lineRule="auto"/>
              <w:rPr>
                <w:szCs w:val="21"/>
              </w:rPr>
            </w:pPr>
            <w:r>
              <w:rPr>
                <w:szCs w:val="21"/>
              </w:rPr>
              <w:t>HDPE土工膜隔离墙</w:t>
            </w:r>
          </w:p>
        </w:tc>
        <w:tc>
          <w:tcPr>
            <w:tcW w:w="994" w:type="dxa"/>
            <w:vAlign w:val="center"/>
          </w:tcPr>
          <w:p>
            <w:pPr>
              <w:pStyle w:val="134"/>
              <w:spacing w:line="360" w:lineRule="auto"/>
              <w:rPr>
                <w:szCs w:val="21"/>
              </w:rPr>
            </w:pPr>
            <w:r>
              <w:rPr>
                <w:szCs w:val="21"/>
              </w:rPr>
              <w:t>在所有地基类型中均可</w:t>
            </w:r>
          </w:p>
        </w:tc>
        <w:tc>
          <w:tcPr>
            <w:tcW w:w="993" w:type="dxa"/>
            <w:vAlign w:val="center"/>
          </w:tcPr>
          <w:p>
            <w:pPr>
              <w:pStyle w:val="134"/>
              <w:spacing w:line="360" w:lineRule="auto"/>
              <w:rPr>
                <w:szCs w:val="21"/>
              </w:rPr>
            </w:pPr>
            <w:r>
              <w:rPr>
                <w:szCs w:val="21"/>
              </w:rPr>
              <w:t>垃圾填埋场地、重金属污染地块、有机污染地块等</w:t>
            </w:r>
          </w:p>
        </w:tc>
        <w:tc>
          <w:tcPr>
            <w:tcW w:w="991" w:type="dxa"/>
            <w:vAlign w:val="center"/>
          </w:tcPr>
          <w:p>
            <w:pPr>
              <w:pStyle w:val="134"/>
              <w:spacing w:line="360" w:lineRule="auto"/>
              <w:rPr>
                <w:szCs w:val="21"/>
              </w:rPr>
            </w:pPr>
            <w:r>
              <w:rPr>
                <w:szCs w:val="21"/>
              </w:rPr>
              <w:t>污染地块长期阻隔</w:t>
            </w:r>
          </w:p>
        </w:tc>
        <w:tc>
          <w:tcPr>
            <w:tcW w:w="3938" w:type="dxa"/>
            <w:vAlign w:val="center"/>
          </w:tcPr>
          <w:p>
            <w:pPr>
              <w:pStyle w:val="134"/>
              <w:spacing w:line="360" w:lineRule="auto"/>
              <w:jc w:val="both"/>
              <w:rPr>
                <w:szCs w:val="21"/>
              </w:rPr>
            </w:pPr>
            <w:r>
              <w:rPr>
                <w:szCs w:val="21"/>
              </w:rPr>
              <w:t>优点：防渗性能好，无破损HDPE土工膜渗透系数可达10</w:t>
            </w:r>
            <w:r>
              <w:rPr>
                <w:szCs w:val="21"/>
                <w:vertAlign w:val="superscript"/>
              </w:rPr>
              <w:t>-12</w:t>
            </w:r>
            <w:r>
              <w:rPr>
                <w:szCs w:val="21"/>
              </w:rPr>
              <w:t xml:space="preserve"> cm/s，适用于各种地层。</w:t>
            </w:r>
          </w:p>
          <w:p>
            <w:pPr>
              <w:pStyle w:val="134"/>
              <w:spacing w:line="360" w:lineRule="auto"/>
              <w:jc w:val="both"/>
              <w:rPr>
                <w:szCs w:val="21"/>
              </w:rPr>
            </w:pPr>
            <w:r>
              <w:rPr>
                <w:szCs w:val="21"/>
              </w:rPr>
              <w:t>缺点：1）HDPE土工膜底端难以嵌固；</w:t>
            </w:r>
          </w:p>
          <w:p>
            <w:pPr>
              <w:pStyle w:val="134"/>
              <w:spacing w:line="360" w:lineRule="auto"/>
              <w:jc w:val="both"/>
              <w:rPr>
                <w:szCs w:val="21"/>
              </w:rPr>
            </w:pPr>
            <w:r>
              <w:rPr>
                <w:szCs w:val="21"/>
              </w:rPr>
              <w:t>2）防渗效果会受土工膜缺陷影响；</w:t>
            </w:r>
          </w:p>
          <w:p>
            <w:pPr>
              <w:pStyle w:val="134"/>
              <w:spacing w:line="360" w:lineRule="auto"/>
              <w:jc w:val="both"/>
              <w:rPr>
                <w:szCs w:val="21"/>
              </w:rPr>
            </w:pPr>
            <w:r>
              <w:rPr>
                <w:szCs w:val="21"/>
              </w:rPr>
              <w:t>3）地下水水位上升容易造成土工膜气胀，应做好排水排气。</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340" w:hRule="atLeast"/>
          <w:jc w:val="center"/>
        </w:trPr>
        <w:tc>
          <w:tcPr>
            <w:tcW w:w="1017" w:type="dxa"/>
            <w:vMerge w:val="continue"/>
            <w:vAlign w:val="center"/>
          </w:tcPr>
          <w:p>
            <w:pPr>
              <w:pStyle w:val="134"/>
              <w:spacing w:line="360" w:lineRule="auto"/>
              <w:rPr>
                <w:kern w:val="0"/>
                <w:szCs w:val="21"/>
              </w:rPr>
            </w:pPr>
          </w:p>
        </w:tc>
        <w:tc>
          <w:tcPr>
            <w:tcW w:w="993" w:type="dxa"/>
            <w:vAlign w:val="center"/>
          </w:tcPr>
          <w:p>
            <w:pPr>
              <w:pStyle w:val="134"/>
              <w:spacing w:line="360" w:lineRule="auto"/>
              <w:rPr>
                <w:szCs w:val="21"/>
              </w:rPr>
            </w:pPr>
            <w:r>
              <w:rPr>
                <w:szCs w:val="21"/>
              </w:rPr>
              <w:t>水泥帷幕灌（注）浆墙</w:t>
            </w:r>
          </w:p>
        </w:tc>
        <w:tc>
          <w:tcPr>
            <w:tcW w:w="994" w:type="dxa"/>
            <w:vAlign w:val="center"/>
          </w:tcPr>
          <w:p>
            <w:pPr>
              <w:pStyle w:val="134"/>
              <w:spacing w:line="360" w:lineRule="auto"/>
              <w:rPr>
                <w:szCs w:val="21"/>
              </w:rPr>
            </w:pPr>
            <w:r>
              <w:rPr>
                <w:szCs w:val="21"/>
              </w:rPr>
              <w:t>裂隙岩体、透水性较好的砂卵石层、碎石土层等</w:t>
            </w:r>
          </w:p>
        </w:tc>
        <w:tc>
          <w:tcPr>
            <w:tcW w:w="993" w:type="dxa"/>
            <w:vAlign w:val="center"/>
          </w:tcPr>
          <w:p>
            <w:pPr>
              <w:pStyle w:val="134"/>
              <w:spacing w:line="360" w:lineRule="auto"/>
              <w:rPr>
                <w:szCs w:val="21"/>
              </w:rPr>
            </w:pPr>
            <w:r>
              <w:rPr>
                <w:szCs w:val="21"/>
              </w:rPr>
              <w:t>垃圾填埋场地、重金属污染地块、有机污染地块等</w:t>
            </w:r>
          </w:p>
        </w:tc>
        <w:tc>
          <w:tcPr>
            <w:tcW w:w="991" w:type="dxa"/>
            <w:vAlign w:val="center"/>
          </w:tcPr>
          <w:p>
            <w:pPr>
              <w:pStyle w:val="134"/>
              <w:spacing w:line="360" w:lineRule="auto"/>
              <w:rPr>
                <w:szCs w:val="21"/>
              </w:rPr>
            </w:pPr>
            <w:r>
              <w:rPr>
                <w:szCs w:val="21"/>
              </w:rPr>
              <w:t>污染地块长期阻隔</w:t>
            </w:r>
          </w:p>
        </w:tc>
        <w:tc>
          <w:tcPr>
            <w:tcW w:w="3938" w:type="dxa"/>
            <w:vAlign w:val="center"/>
          </w:tcPr>
          <w:p>
            <w:pPr>
              <w:pStyle w:val="134"/>
              <w:spacing w:line="360" w:lineRule="auto"/>
              <w:jc w:val="both"/>
              <w:rPr>
                <w:szCs w:val="21"/>
              </w:rPr>
            </w:pPr>
            <w:r>
              <w:rPr>
                <w:szCs w:val="21"/>
              </w:rPr>
              <w:t>优点：适用于复杂地层。</w:t>
            </w:r>
          </w:p>
          <w:p>
            <w:pPr>
              <w:pStyle w:val="134"/>
              <w:spacing w:line="360" w:lineRule="auto"/>
              <w:jc w:val="both"/>
              <w:rPr>
                <w:szCs w:val="21"/>
              </w:rPr>
            </w:pPr>
            <w:r>
              <w:rPr>
                <w:szCs w:val="21"/>
              </w:rPr>
              <w:t>缺点：1）钻孔作业难度大，造价高；</w:t>
            </w:r>
          </w:p>
          <w:p>
            <w:pPr>
              <w:pStyle w:val="134"/>
              <w:spacing w:line="360" w:lineRule="auto"/>
              <w:jc w:val="both"/>
              <w:rPr>
                <w:szCs w:val="21"/>
              </w:rPr>
            </w:pPr>
            <w:r>
              <w:rPr>
                <w:szCs w:val="21"/>
              </w:rPr>
              <w:t>2）防渗效果受地质条件影响很大，应准确查明注浆范围内的地质条件，如断层、破碎带、洞穴等。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340" w:hRule="atLeast"/>
          <w:jc w:val="center"/>
        </w:trPr>
        <w:tc>
          <w:tcPr>
            <w:tcW w:w="1017" w:type="dxa"/>
            <w:vMerge w:val="continue"/>
            <w:vAlign w:val="center"/>
          </w:tcPr>
          <w:p>
            <w:pPr>
              <w:pStyle w:val="134"/>
              <w:spacing w:line="360" w:lineRule="auto"/>
              <w:rPr>
                <w:szCs w:val="21"/>
              </w:rPr>
            </w:pPr>
          </w:p>
        </w:tc>
        <w:tc>
          <w:tcPr>
            <w:tcW w:w="993" w:type="dxa"/>
            <w:vAlign w:val="center"/>
          </w:tcPr>
          <w:p>
            <w:pPr>
              <w:pStyle w:val="134"/>
              <w:spacing w:line="360" w:lineRule="auto"/>
              <w:rPr>
                <w:szCs w:val="21"/>
              </w:rPr>
            </w:pPr>
            <w:r>
              <w:rPr>
                <w:szCs w:val="21"/>
              </w:rPr>
              <w:t>高压喷射灌浆墙</w:t>
            </w:r>
          </w:p>
        </w:tc>
        <w:tc>
          <w:tcPr>
            <w:tcW w:w="994" w:type="dxa"/>
            <w:vAlign w:val="center"/>
          </w:tcPr>
          <w:p>
            <w:pPr>
              <w:pStyle w:val="134"/>
              <w:spacing w:line="360" w:lineRule="auto"/>
              <w:rPr>
                <w:szCs w:val="21"/>
              </w:rPr>
            </w:pPr>
            <w:r>
              <w:rPr>
                <w:szCs w:val="21"/>
              </w:rPr>
              <w:t>素填土、粉土、黏土等地层</w:t>
            </w:r>
          </w:p>
        </w:tc>
        <w:tc>
          <w:tcPr>
            <w:tcW w:w="993" w:type="dxa"/>
            <w:vAlign w:val="center"/>
          </w:tcPr>
          <w:p>
            <w:pPr>
              <w:pStyle w:val="134"/>
              <w:spacing w:line="360" w:lineRule="auto"/>
              <w:rPr>
                <w:szCs w:val="21"/>
              </w:rPr>
            </w:pPr>
            <w:r>
              <w:rPr>
                <w:szCs w:val="21"/>
              </w:rPr>
              <w:t>垃圾填埋场地、重金属污染地块、非挥发性有机污染地块等</w:t>
            </w:r>
          </w:p>
        </w:tc>
        <w:tc>
          <w:tcPr>
            <w:tcW w:w="991" w:type="dxa"/>
            <w:vAlign w:val="center"/>
          </w:tcPr>
          <w:p>
            <w:pPr>
              <w:pStyle w:val="134"/>
              <w:spacing w:line="360" w:lineRule="auto"/>
              <w:rPr>
                <w:szCs w:val="21"/>
              </w:rPr>
            </w:pPr>
            <w:r>
              <w:rPr>
                <w:szCs w:val="21"/>
              </w:rPr>
              <w:t>污染地块临时性阻隔、应急阻隔</w:t>
            </w:r>
          </w:p>
        </w:tc>
        <w:tc>
          <w:tcPr>
            <w:tcW w:w="3938" w:type="dxa"/>
            <w:vAlign w:val="center"/>
          </w:tcPr>
          <w:p>
            <w:pPr>
              <w:pStyle w:val="134"/>
              <w:spacing w:line="360" w:lineRule="auto"/>
              <w:jc w:val="both"/>
              <w:rPr>
                <w:szCs w:val="21"/>
              </w:rPr>
            </w:pPr>
            <w:r>
              <w:rPr>
                <w:szCs w:val="21"/>
              </w:rPr>
              <w:t>优点：钻探作业难度低、效率高。</w:t>
            </w:r>
          </w:p>
          <w:p>
            <w:pPr>
              <w:pStyle w:val="134"/>
              <w:spacing w:line="360" w:lineRule="auto"/>
              <w:jc w:val="both"/>
              <w:rPr>
                <w:szCs w:val="21"/>
              </w:rPr>
            </w:pPr>
            <w:r>
              <w:rPr>
                <w:szCs w:val="21"/>
              </w:rPr>
              <w:t>缺点：1）遇到砂层、卵砾石层、含块石人工填海地层、混凝土旧基础、基岩等复杂地层时无法钻进或产生桩位偏移；</w:t>
            </w:r>
          </w:p>
          <w:p>
            <w:pPr>
              <w:pStyle w:val="134"/>
              <w:spacing w:line="360" w:lineRule="auto"/>
              <w:jc w:val="both"/>
              <w:rPr>
                <w:szCs w:val="21"/>
              </w:rPr>
            </w:pPr>
            <w:r>
              <w:rPr>
                <w:szCs w:val="21"/>
              </w:rPr>
              <w:t>2）当钻深较大时，成孔垂直度偏差较大；</w:t>
            </w:r>
          </w:p>
          <w:p>
            <w:pPr>
              <w:pStyle w:val="134"/>
              <w:spacing w:line="360" w:lineRule="auto"/>
              <w:jc w:val="both"/>
              <w:rPr>
                <w:szCs w:val="21"/>
              </w:rPr>
            </w:pPr>
            <w:r>
              <w:rPr>
                <w:szCs w:val="21"/>
              </w:rPr>
              <w:t>3）施工期间孔口处返出大量废浆，废浆中含大量水泥，其外运消纳难度大；</w:t>
            </w:r>
          </w:p>
          <w:p>
            <w:pPr>
              <w:pStyle w:val="134"/>
              <w:spacing w:line="360" w:lineRule="auto"/>
              <w:jc w:val="both"/>
              <w:rPr>
                <w:szCs w:val="21"/>
              </w:rPr>
            </w:pPr>
            <w:r>
              <w:rPr>
                <w:szCs w:val="21"/>
              </w:rPr>
              <w:t>4）长期防渗效果不能得到保证。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340" w:hRule="atLeast"/>
          <w:jc w:val="center"/>
        </w:trPr>
        <w:tc>
          <w:tcPr>
            <w:tcW w:w="1017" w:type="dxa"/>
            <w:vMerge w:val="continue"/>
            <w:vAlign w:val="center"/>
          </w:tcPr>
          <w:p>
            <w:pPr>
              <w:pStyle w:val="134"/>
              <w:spacing w:line="360" w:lineRule="auto"/>
              <w:rPr>
                <w:kern w:val="0"/>
                <w:szCs w:val="21"/>
              </w:rPr>
            </w:pPr>
          </w:p>
        </w:tc>
        <w:tc>
          <w:tcPr>
            <w:tcW w:w="993" w:type="dxa"/>
            <w:vAlign w:val="center"/>
          </w:tcPr>
          <w:p>
            <w:pPr>
              <w:pStyle w:val="134"/>
              <w:spacing w:line="360" w:lineRule="auto"/>
              <w:rPr>
                <w:szCs w:val="21"/>
              </w:rPr>
            </w:pPr>
            <w:r>
              <w:rPr>
                <w:szCs w:val="21"/>
              </w:rPr>
              <w:t>水泥搅拌桩墙</w:t>
            </w:r>
          </w:p>
        </w:tc>
        <w:tc>
          <w:tcPr>
            <w:tcW w:w="994" w:type="dxa"/>
            <w:vAlign w:val="center"/>
          </w:tcPr>
          <w:p>
            <w:pPr>
              <w:pStyle w:val="134"/>
              <w:spacing w:line="360" w:lineRule="auto"/>
              <w:rPr>
                <w:szCs w:val="21"/>
              </w:rPr>
            </w:pPr>
            <w:r>
              <w:rPr>
                <w:szCs w:val="21"/>
              </w:rPr>
              <w:t>除碎石土地层之外的各种土层条件</w:t>
            </w:r>
          </w:p>
        </w:tc>
        <w:tc>
          <w:tcPr>
            <w:tcW w:w="993" w:type="dxa"/>
            <w:vAlign w:val="center"/>
          </w:tcPr>
          <w:p>
            <w:pPr>
              <w:pStyle w:val="134"/>
              <w:spacing w:line="360" w:lineRule="auto"/>
              <w:rPr>
                <w:szCs w:val="21"/>
              </w:rPr>
            </w:pPr>
            <w:r>
              <w:rPr>
                <w:szCs w:val="21"/>
              </w:rPr>
              <w:t>垃圾填埋场地、重金属污染地块、非挥发性有机污染地块等</w:t>
            </w:r>
          </w:p>
        </w:tc>
        <w:tc>
          <w:tcPr>
            <w:tcW w:w="991" w:type="dxa"/>
            <w:vAlign w:val="center"/>
          </w:tcPr>
          <w:p>
            <w:pPr>
              <w:pStyle w:val="134"/>
              <w:spacing w:line="360" w:lineRule="auto"/>
              <w:rPr>
                <w:szCs w:val="21"/>
              </w:rPr>
            </w:pPr>
            <w:r>
              <w:rPr>
                <w:szCs w:val="21"/>
              </w:rPr>
              <w:t>污染地块临时性阻隔、应急阻隔</w:t>
            </w:r>
          </w:p>
        </w:tc>
        <w:tc>
          <w:tcPr>
            <w:tcW w:w="3938" w:type="dxa"/>
            <w:vAlign w:val="center"/>
          </w:tcPr>
          <w:p>
            <w:pPr>
              <w:pStyle w:val="134"/>
              <w:spacing w:line="360" w:lineRule="auto"/>
              <w:jc w:val="both"/>
              <w:rPr>
                <w:szCs w:val="21"/>
              </w:rPr>
            </w:pPr>
            <w:r>
              <w:rPr>
                <w:szCs w:val="21"/>
              </w:rPr>
              <w:t>优点：造价低廉，效率高，适用性强。</w:t>
            </w:r>
          </w:p>
          <w:p>
            <w:pPr>
              <w:pStyle w:val="134"/>
              <w:spacing w:line="360" w:lineRule="auto"/>
              <w:jc w:val="both"/>
              <w:rPr>
                <w:szCs w:val="21"/>
              </w:rPr>
            </w:pPr>
            <w:r>
              <w:rPr>
                <w:szCs w:val="21"/>
              </w:rPr>
              <w:t>缺点：1）不适合卵砾石层、基岩；</w:t>
            </w:r>
          </w:p>
          <w:p>
            <w:pPr>
              <w:pStyle w:val="134"/>
              <w:spacing w:line="360" w:lineRule="auto"/>
              <w:jc w:val="both"/>
              <w:rPr>
                <w:szCs w:val="21"/>
              </w:rPr>
            </w:pPr>
            <w:r>
              <w:rPr>
                <w:szCs w:val="21"/>
              </w:rPr>
              <w:t>2）钻探深度浅，一般在30 m以内；</w:t>
            </w:r>
          </w:p>
          <w:p>
            <w:pPr>
              <w:pStyle w:val="134"/>
              <w:spacing w:line="360" w:lineRule="auto"/>
              <w:jc w:val="both"/>
              <w:rPr>
                <w:szCs w:val="21"/>
              </w:rPr>
            </w:pPr>
            <w:r>
              <w:rPr>
                <w:szCs w:val="21"/>
              </w:rPr>
              <w:t>3）长期防渗效果不能得到保证。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340" w:hRule="atLeast"/>
          <w:jc w:val="center"/>
        </w:trPr>
        <w:tc>
          <w:tcPr>
            <w:tcW w:w="1017" w:type="dxa"/>
            <w:vMerge w:val="continue"/>
            <w:vAlign w:val="center"/>
          </w:tcPr>
          <w:p>
            <w:pPr>
              <w:pStyle w:val="134"/>
              <w:spacing w:line="360" w:lineRule="auto"/>
              <w:rPr>
                <w:szCs w:val="21"/>
              </w:rPr>
            </w:pPr>
          </w:p>
        </w:tc>
        <w:tc>
          <w:tcPr>
            <w:tcW w:w="993" w:type="dxa"/>
            <w:vAlign w:val="center"/>
          </w:tcPr>
          <w:p>
            <w:pPr>
              <w:pStyle w:val="134"/>
              <w:spacing w:line="360" w:lineRule="auto"/>
              <w:rPr>
                <w:szCs w:val="21"/>
              </w:rPr>
            </w:pPr>
            <w:r>
              <w:rPr>
                <w:szCs w:val="21"/>
              </w:rPr>
              <w:t>渗透反应墙</w:t>
            </w:r>
          </w:p>
        </w:tc>
        <w:tc>
          <w:tcPr>
            <w:tcW w:w="994" w:type="dxa"/>
            <w:vAlign w:val="center"/>
          </w:tcPr>
          <w:p>
            <w:pPr>
              <w:pStyle w:val="134"/>
              <w:spacing w:line="360" w:lineRule="auto"/>
              <w:rPr>
                <w:szCs w:val="21"/>
              </w:rPr>
            </w:pPr>
            <w:r>
              <w:rPr>
                <w:szCs w:val="21"/>
              </w:rPr>
              <w:t>各类岩体、砂卵砾石层、砂土层、碎石土层</w:t>
            </w:r>
          </w:p>
        </w:tc>
        <w:tc>
          <w:tcPr>
            <w:tcW w:w="993" w:type="dxa"/>
            <w:vAlign w:val="center"/>
          </w:tcPr>
          <w:p>
            <w:pPr>
              <w:pStyle w:val="134"/>
              <w:spacing w:line="360" w:lineRule="auto"/>
              <w:rPr>
                <w:szCs w:val="21"/>
              </w:rPr>
            </w:pPr>
            <w:r>
              <w:rPr>
                <w:szCs w:val="21"/>
              </w:rPr>
              <w:t>垃圾填埋场</w:t>
            </w:r>
            <w:r>
              <w:rPr>
                <w:spacing w:val="-4"/>
                <w:szCs w:val="21"/>
              </w:rPr>
              <w:t>地、</w:t>
            </w:r>
            <w:r>
              <w:rPr>
                <w:szCs w:val="21"/>
              </w:rPr>
              <w:t>重金属污染地块</w:t>
            </w:r>
            <w:r>
              <w:rPr>
                <w:spacing w:val="-4"/>
                <w:szCs w:val="21"/>
              </w:rPr>
              <w:t>、有机</w:t>
            </w:r>
            <w:r>
              <w:rPr>
                <w:szCs w:val="21"/>
              </w:rPr>
              <w:t>污染地块等</w:t>
            </w:r>
          </w:p>
        </w:tc>
        <w:tc>
          <w:tcPr>
            <w:tcW w:w="991" w:type="dxa"/>
            <w:vAlign w:val="center"/>
          </w:tcPr>
          <w:p>
            <w:pPr>
              <w:pStyle w:val="134"/>
              <w:spacing w:line="360" w:lineRule="auto"/>
              <w:rPr>
                <w:szCs w:val="21"/>
              </w:rPr>
            </w:pPr>
            <w:r>
              <w:rPr>
                <w:szCs w:val="21"/>
              </w:rPr>
              <w:t>污染地块长期阻隔</w:t>
            </w:r>
          </w:p>
        </w:tc>
        <w:tc>
          <w:tcPr>
            <w:tcW w:w="3938" w:type="dxa"/>
            <w:vAlign w:val="center"/>
          </w:tcPr>
          <w:p>
            <w:pPr>
              <w:pStyle w:val="134"/>
              <w:spacing w:line="360" w:lineRule="auto"/>
              <w:jc w:val="both"/>
              <w:rPr>
                <w:szCs w:val="21"/>
              </w:rPr>
            </w:pPr>
            <w:r>
              <w:rPr>
                <w:szCs w:val="21"/>
              </w:rPr>
              <w:t>优点：处理多种污染物（</w:t>
            </w:r>
            <w:r>
              <w:rPr>
                <w:spacing w:val="-19"/>
                <w:szCs w:val="21"/>
              </w:rPr>
              <w:t>如</w:t>
            </w:r>
            <w:r>
              <w:rPr>
                <w:szCs w:val="21"/>
              </w:rPr>
              <w:t>重金属、有机物等）</w:t>
            </w:r>
            <w:r>
              <w:rPr>
                <w:spacing w:val="-7"/>
                <w:szCs w:val="21"/>
              </w:rPr>
              <w:t>、扰动</w:t>
            </w:r>
            <w:r>
              <w:rPr>
                <w:spacing w:val="-2"/>
                <w:szCs w:val="21"/>
              </w:rPr>
              <w:t>小、处理</w:t>
            </w:r>
            <w:r>
              <w:rPr>
                <w:szCs w:val="21"/>
              </w:rPr>
              <w:t>效果</w:t>
            </w:r>
            <w:r>
              <w:rPr>
                <w:spacing w:val="-2"/>
                <w:szCs w:val="21"/>
              </w:rPr>
              <w:t>好、安装施工</w:t>
            </w:r>
            <w:r>
              <w:rPr>
                <w:szCs w:val="21"/>
              </w:rPr>
              <w:t>方便、性价比相对较高。</w:t>
            </w:r>
          </w:p>
          <w:p>
            <w:pPr>
              <w:pStyle w:val="134"/>
              <w:spacing w:line="360" w:lineRule="auto"/>
              <w:jc w:val="both"/>
              <w:rPr>
                <w:szCs w:val="21"/>
              </w:rPr>
            </w:pPr>
            <w:r>
              <w:rPr>
                <w:szCs w:val="21"/>
              </w:rPr>
              <w:t>缺点：反应墙介质容量有</w:t>
            </w:r>
            <w:r>
              <w:rPr>
                <w:spacing w:val="-2"/>
                <w:szCs w:val="21"/>
              </w:rPr>
              <w:t>限，应定期更换活性物质，反应介质导致污染物沉淀，使地下水在反应墙及其附近流场发生变化，反应介质堵</w:t>
            </w:r>
            <w:r>
              <w:rPr>
                <w:szCs w:val="21"/>
              </w:rPr>
              <w:t>塞会导致反应墙失效。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340" w:hRule="atLeast"/>
          <w:jc w:val="center"/>
        </w:trPr>
        <w:tc>
          <w:tcPr>
            <w:tcW w:w="1017" w:type="dxa"/>
            <w:vMerge w:val="restart"/>
            <w:vAlign w:val="center"/>
          </w:tcPr>
          <w:p>
            <w:pPr>
              <w:pStyle w:val="134"/>
              <w:spacing w:line="360" w:lineRule="auto"/>
              <w:rPr>
                <w:szCs w:val="21"/>
              </w:rPr>
            </w:pPr>
            <w:r>
              <w:rPr>
                <w:szCs w:val="21"/>
              </w:rPr>
              <w:t>水平</w:t>
            </w:r>
          </w:p>
          <w:p>
            <w:pPr>
              <w:pStyle w:val="134"/>
              <w:spacing w:line="360" w:lineRule="auto"/>
              <w:rPr>
                <w:szCs w:val="21"/>
              </w:rPr>
            </w:pPr>
            <w:r>
              <w:rPr>
                <w:szCs w:val="21"/>
              </w:rPr>
              <w:t>阻隔技术</w:t>
            </w:r>
          </w:p>
        </w:tc>
        <w:tc>
          <w:tcPr>
            <w:tcW w:w="993" w:type="dxa"/>
            <w:vAlign w:val="center"/>
          </w:tcPr>
          <w:p>
            <w:pPr>
              <w:pStyle w:val="134"/>
              <w:spacing w:line="360" w:lineRule="auto"/>
              <w:rPr>
                <w:szCs w:val="21"/>
              </w:rPr>
            </w:pPr>
            <w:r>
              <w:rPr>
                <w:szCs w:val="21"/>
              </w:rPr>
              <w:t>混凝土水平阻隔技术</w:t>
            </w:r>
          </w:p>
        </w:tc>
        <w:tc>
          <w:tcPr>
            <w:tcW w:w="994" w:type="dxa"/>
            <w:vAlign w:val="center"/>
          </w:tcPr>
          <w:p>
            <w:pPr>
              <w:pStyle w:val="134"/>
              <w:spacing w:line="360" w:lineRule="auto"/>
              <w:rPr>
                <w:szCs w:val="21"/>
              </w:rPr>
            </w:pPr>
            <w:r>
              <w:rPr>
                <w:szCs w:val="21"/>
              </w:rPr>
              <w:t>各类岩体、砂卵砾石层、砂土层、碎石土层</w:t>
            </w:r>
          </w:p>
        </w:tc>
        <w:tc>
          <w:tcPr>
            <w:tcW w:w="993" w:type="dxa"/>
            <w:vAlign w:val="center"/>
          </w:tcPr>
          <w:p>
            <w:pPr>
              <w:pStyle w:val="134"/>
              <w:spacing w:line="360" w:lineRule="auto"/>
              <w:rPr>
                <w:szCs w:val="21"/>
              </w:rPr>
            </w:pPr>
            <w:r>
              <w:rPr>
                <w:szCs w:val="21"/>
              </w:rPr>
              <w:t>重金属污染地块、非挥发性有机污染地块等</w:t>
            </w:r>
          </w:p>
        </w:tc>
        <w:tc>
          <w:tcPr>
            <w:tcW w:w="991" w:type="dxa"/>
            <w:vAlign w:val="center"/>
          </w:tcPr>
          <w:p>
            <w:pPr>
              <w:pStyle w:val="134"/>
              <w:spacing w:line="360" w:lineRule="auto"/>
              <w:rPr>
                <w:szCs w:val="21"/>
              </w:rPr>
            </w:pPr>
            <w:r>
              <w:rPr>
                <w:szCs w:val="21"/>
              </w:rPr>
              <w:t>污染土壤、废水的临时性阻隔、贮存</w:t>
            </w:r>
          </w:p>
        </w:tc>
        <w:tc>
          <w:tcPr>
            <w:tcW w:w="3938" w:type="dxa"/>
            <w:vAlign w:val="center"/>
          </w:tcPr>
          <w:p>
            <w:pPr>
              <w:pStyle w:val="134"/>
              <w:spacing w:line="360" w:lineRule="auto"/>
              <w:jc w:val="both"/>
              <w:rPr>
                <w:szCs w:val="21"/>
              </w:rPr>
            </w:pPr>
          </w:p>
          <w:p>
            <w:pPr>
              <w:pStyle w:val="134"/>
              <w:spacing w:line="360" w:lineRule="auto"/>
              <w:jc w:val="both"/>
              <w:rPr>
                <w:szCs w:val="21"/>
              </w:rPr>
            </w:pPr>
          </w:p>
          <w:p>
            <w:pPr>
              <w:pStyle w:val="134"/>
              <w:spacing w:line="360" w:lineRule="auto"/>
              <w:jc w:val="both"/>
              <w:rPr>
                <w:szCs w:val="21"/>
              </w:rPr>
            </w:pPr>
            <w:r>
              <w:rPr>
                <w:szCs w:val="21"/>
              </w:rPr>
              <w:t>优点：工艺成熟、适应性强。</w:t>
            </w:r>
          </w:p>
          <w:p>
            <w:pPr>
              <w:pStyle w:val="134"/>
              <w:spacing w:line="360" w:lineRule="auto"/>
              <w:jc w:val="both"/>
              <w:rPr>
                <w:szCs w:val="21"/>
              </w:rPr>
            </w:pPr>
            <w:r>
              <w:rPr>
                <w:szCs w:val="21"/>
              </w:rPr>
              <w:t>缺点：对有腐蚀性的土壤和废水不适用。</w:t>
            </w:r>
          </w:p>
          <w:p>
            <w:pPr>
              <w:pStyle w:val="134"/>
              <w:spacing w:line="360" w:lineRule="auto"/>
              <w:jc w:val="both"/>
              <w:rPr>
                <w:szCs w:val="21"/>
              </w:rPr>
            </w:pPr>
          </w:p>
          <w:p>
            <w:pPr>
              <w:pStyle w:val="134"/>
              <w:spacing w:line="360" w:lineRule="auto"/>
              <w:jc w:val="both"/>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340" w:hRule="atLeast"/>
          <w:jc w:val="center"/>
        </w:trPr>
        <w:tc>
          <w:tcPr>
            <w:tcW w:w="1017" w:type="dxa"/>
            <w:vMerge w:val="continue"/>
            <w:vAlign w:val="center"/>
          </w:tcPr>
          <w:p>
            <w:pPr>
              <w:pStyle w:val="134"/>
              <w:spacing w:line="360" w:lineRule="auto"/>
              <w:rPr>
                <w:kern w:val="0"/>
                <w:szCs w:val="21"/>
              </w:rPr>
            </w:pPr>
          </w:p>
        </w:tc>
        <w:tc>
          <w:tcPr>
            <w:tcW w:w="993" w:type="dxa"/>
            <w:vAlign w:val="center"/>
          </w:tcPr>
          <w:p>
            <w:pPr>
              <w:pStyle w:val="134"/>
              <w:spacing w:line="360" w:lineRule="auto"/>
              <w:rPr>
                <w:szCs w:val="21"/>
              </w:rPr>
            </w:pPr>
            <w:r>
              <w:rPr>
                <w:szCs w:val="21"/>
              </w:rPr>
              <w:t>黏土水平阻隔技术</w:t>
            </w:r>
          </w:p>
        </w:tc>
        <w:tc>
          <w:tcPr>
            <w:tcW w:w="994" w:type="dxa"/>
            <w:vAlign w:val="center"/>
          </w:tcPr>
          <w:p>
            <w:pPr>
              <w:pStyle w:val="134"/>
              <w:spacing w:line="360" w:lineRule="auto"/>
              <w:rPr>
                <w:szCs w:val="21"/>
              </w:rPr>
            </w:pPr>
            <w:r>
              <w:rPr>
                <w:szCs w:val="21"/>
              </w:rPr>
              <w:t>各类岩体、砂卵砾石层、砂土层、碎石土层</w:t>
            </w:r>
          </w:p>
        </w:tc>
        <w:tc>
          <w:tcPr>
            <w:tcW w:w="993" w:type="dxa"/>
            <w:vAlign w:val="center"/>
          </w:tcPr>
          <w:p>
            <w:pPr>
              <w:pStyle w:val="134"/>
              <w:spacing w:line="360" w:lineRule="auto"/>
              <w:rPr>
                <w:szCs w:val="21"/>
              </w:rPr>
            </w:pPr>
            <w:r>
              <w:rPr>
                <w:szCs w:val="21"/>
              </w:rPr>
              <w:t>垃圾填埋场</w:t>
            </w:r>
            <w:r>
              <w:rPr>
                <w:spacing w:val="-4"/>
                <w:szCs w:val="21"/>
              </w:rPr>
              <w:t>地、重金属污染地块、非</w:t>
            </w:r>
            <w:r>
              <w:rPr>
                <w:szCs w:val="21"/>
              </w:rPr>
              <w:t>挥发性</w:t>
            </w:r>
            <w:r>
              <w:rPr>
                <w:spacing w:val="-4"/>
                <w:szCs w:val="21"/>
              </w:rPr>
              <w:t>有机污染</w:t>
            </w:r>
            <w:r>
              <w:rPr>
                <w:szCs w:val="21"/>
              </w:rPr>
              <w:t>地块等</w:t>
            </w:r>
          </w:p>
        </w:tc>
        <w:tc>
          <w:tcPr>
            <w:tcW w:w="991" w:type="dxa"/>
            <w:vAlign w:val="center"/>
          </w:tcPr>
          <w:p>
            <w:pPr>
              <w:pStyle w:val="134"/>
              <w:spacing w:line="360" w:lineRule="auto"/>
              <w:rPr>
                <w:szCs w:val="21"/>
              </w:rPr>
            </w:pPr>
            <w:r>
              <w:rPr>
                <w:szCs w:val="21"/>
              </w:rPr>
              <w:t>污染地块长期阻隔</w:t>
            </w:r>
          </w:p>
        </w:tc>
        <w:tc>
          <w:tcPr>
            <w:tcW w:w="3938" w:type="dxa"/>
            <w:vAlign w:val="center"/>
          </w:tcPr>
          <w:p>
            <w:pPr>
              <w:pStyle w:val="134"/>
              <w:spacing w:line="360" w:lineRule="auto"/>
              <w:jc w:val="both"/>
              <w:rPr>
                <w:szCs w:val="21"/>
              </w:rPr>
            </w:pPr>
            <w:r>
              <w:rPr>
                <w:szCs w:val="21"/>
              </w:rPr>
              <w:t>优点：对地基基础要求较低，适应性强，适用寿命长。</w:t>
            </w:r>
          </w:p>
          <w:p>
            <w:pPr>
              <w:pStyle w:val="134"/>
              <w:spacing w:line="360" w:lineRule="auto"/>
              <w:jc w:val="both"/>
              <w:rPr>
                <w:szCs w:val="21"/>
              </w:rPr>
            </w:pPr>
            <w:r>
              <w:rPr>
                <w:szCs w:val="21"/>
              </w:rPr>
              <w:t>缺点：对黏土的需求量较大，黏土资源比较缺乏。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340" w:hRule="atLeast"/>
          <w:jc w:val="center"/>
        </w:trPr>
        <w:tc>
          <w:tcPr>
            <w:tcW w:w="1017" w:type="dxa"/>
            <w:vMerge w:val="continue"/>
            <w:vAlign w:val="center"/>
          </w:tcPr>
          <w:p>
            <w:pPr>
              <w:pStyle w:val="134"/>
              <w:spacing w:line="360" w:lineRule="auto"/>
              <w:rPr>
                <w:kern w:val="0"/>
                <w:szCs w:val="21"/>
              </w:rPr>
            </w:pPr>
          </w:p>
        </w:tc>
        <w:tc>
          <w:tcPr>
            <w:tcW w:w="993" w:type="dxa"/>
            <w:vAlign w:val="center"/>
          </w:tcPr>
          <w:p>
            <w:pPr>
              <w:pStyle w:val="134"/>
              <w:spacing w:line="360" w:lineRule="auto"/>
              <w:rPr>
                <w:szCs w:val="21"/>
              </w:rPr>
            </w:pPr>
            <w:r>
              <w:rPr>
                <w:szCs w:val="21"/>
              </w:rPr>
              <w:t>柔性水平阻隔技术</w:t>
            </w:r>
          </w:p>
        </w:tc>
        <w:tc>
          <w:tcPr>
            <w:tcW w:w="994" w:type="dxa"/>
            <w:vAlign w:val="center"/>
          </w:tcPr>
          <w:p>
            <w:pPr>
              <w:pStyle w:val="134"/>
              <w:spacing w:line="360" w:lineRule="auto"/>
              <w:rPr>
                <w:szCs w:val="21"/>
              </w:rPr>
            </w:pPr>
            <w:r>
              <w:rPr>
                <w:szCs w:val="21"/>
              </w:rPr>
              <w:t>各类岩体、砂卵砾石层、砂土层、碎石土层</w:t>
            </w:r>
          </w:p>
        </w:tc>
        <w:tc>
          <w:tcPr>
            <w:tcW w:w="993" w:type="dxa"/>
            <w:vAlign w:val="center"/>
          </w:tcPr>
          <w:p>
            <w:pPr>
              <w:pStyle w:val="134"/>
              <w:spacing w:line="360" w:lineRule="auto"/>
              <w:rPr>
                <w:szCs w:val="21"/>
              </w:rPr>
            </w:pPr>
            <w:r>
              <w:rPr>
                <w:szCs w:val="21"/>
              </w:rPr>
              <w:t>垃圾填埋场</w:t>
            </w:r>
            <w:r>
              <w:rPr>
                <w:spacing w:val="-4"/>
                <w:szCs w:val="21"/>
              </w:rPr>
              <w:t>地、重金属污染地块、非挥发性有机污染</w:t>
            </w:r>
            <w:r>
              <w:rPr>
                <w:szCs w:val="21"/>
              </w:rPr>
              <w:t>地块等</w:t>
            </w:r>
          </w:p>
        </w:tc>
        <w:tc>
          <w:tcPr>
            <w:tcW w:w="991" w:type="dxa"/>
            <w:vAlign w:val="center"/>
          </w:tcPr>
          <w:p>
            <w:pPr>
              <w:pStyle w:val="134"/>
              <w:spacing w:line="360" w:lineRule="auto"/>
              <w:rPr>
                <w:szCs w:val="21"/>
              </w:rPr>
            </w:pPr>
            <w:r>
              <w:rPr>
                <w:szCs w:val="21"/>
              </w:rPr>
              <w:t>污染地块长期阻隔</w:t>
            </w:r>
          </w:p>
        </w:tc>
        <w:tc>
          <w:tcPr>
            <w:tcW w:w="3938" w:type="dxa"/>
            <w:vAlign w:val="center"/>
          </w:tcPr>
          <w:p>
            <w:pPr>
              <w:pStyle w:val="134"/>
              <w:spacing w:line="360" w:lineRule="auto"/>
              <w:jc w:val="both"/>
              <w:rPr>
                <w:szCs w:val="21"/>
              </w:rPr>
            </w:pPr>
            <w:r>
              <w:rPr>
                <w:szCs w:val="21"/>
              </w:rPr>
              <w:t>优点：工艺成熟、适应性强。</w:t>
            </w:r>
          </w:p>
          <w:p>
            <w:pPr>
              <w:pStyle w:val="134"/>
              <w:spacing w:line="360" w:lineRule="auto"/>
              <w:jc w:val="both"/>
              <w:rPr>
                <w:szCs w:val="21"/>
              </w:rPr>
            </w:pPr>
            <w:r>
              <w:rPr>
                <w:szCs w:val="21"/>
              </w:rPr>
              <w:t>缺点：土工合成材料存在老化问题。</w:t>
            </w:r>
          </w:p>
        </w:tc>
      </w:tr>
      <w:bookmarkEnd w:id="381"/>
    </w:tbl>
    <w:p>
      <w:pPr>
        <w:rPr>
          <w:rFonts w:ascii="Times New Roman" w:hAnsi="Times New Roman" w:cs="Times New Roman"/>
        </w:rPr>
      </w:pPr>
    </w:p>
    <w:sectPr>
      <w:footerReference r:id="rId15" w:type="first"/>
      <w:footerReference r:id="rId13" w:type="default"/>
      <w:footerReference r:id="rId14" w:type="even"/>
      <w:pgSz w:w="11906" w:h="16838"/>
      <w:pgMar w:top="1440" w:right="1800" w:bottom="1440" w:left="1800" w:header="850" w:footer="992" w:gutter="0"/>
      <w:pgNumType w:fmt="numberInDash"/>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等线">
    <w:altName w:val="Arial Unicode MS"/>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56520991"/>
      <w:docPartObj>
        <w:docPartGallery w:val="autotext"/>
      </w:docPartObj>
    </w:sdtPr>
    <w:sdtEndPr>
      <w:rPr>
        <w:rFonts w:ascii="Times New Roman" w:hAnsi="Times New Roman" w:cs="Times New Roman"/>
        <w:sz w:val="28"/>
        <w:szCs w:val="28"/>
      </w:rPr>
    </w:sdtEndPr>
    <w:sdtContent>
      <w:p>
        <w:pPr>
          <w:pStyle w:val="21"/>
          <w:spacing w:before="120" w:after="120"/>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2</w:t>
        </w:r>
        <w:r>
          <w:rPr>
            <w:rFonts w:ascii="Times New Roman" w:hAnsi="Times New Roman" w:cs="Times New Roman"/>
            <w:sz w:val="28"/>
            <w:szCs w:val="28"/>
          </w:rPr>
          <w:fldChar w:fldCharType="end"/>
        </w:r>
      </w:p>
    </w:sdtContent>
  </w:sdt>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88062225"/>
      <w:docPartObj>
        <w:docPartGallery w:val="autotext"/>
      </w:docPartObj>
    </w:sdtPr>
    <w:sdtEndPr>
      <w:rPr>
        <w:rFonts w:ascii="Times New Roman" w:hAnsi="Times New Roman" w:cs="Times New Roman"/>
        <w:sz w:val="28"/>
        <w:szCs w:val="28"/>
      </w:rPr>
    </w:sdtEndPr>
    <w:sdtContent>
      <w:p>
        <w:pPr>
          <w:pStyle w:val="21"/>
          <w:spacing w:before="120" w:after="120"/>
          <w:jc w:val="right"/>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2</w:t>
        </w:r>
        <w:r>
          <w:rPr>
            <w:rFonts w:ascii="Times New Roman" w:hAnsi="Times New Roman" w:cs="Times New Roman"/>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6619150"/>
      <w:docPartObj>
        <w:docPartGallery w:val="autotext"/>
      </w:docPartObj>
    </w:sdtPr>
    <w:sdtEndPr>
      <w:rPr>
        <w:rFonts w:ascii="Times New Roman" w:hAnsi="Times New Roman" w:cs="Times New Roman"/>
        <w:sz w:val="28"/>
        <w:szCs w:val="28"/>
      </w:rPr>
    </w:sdtEndPr>
    <w:sdtContent>
      <w:p>
        <w:pPr>
          <w:pStyle w:val="21"/>
          <w:spacing w:before="120" w:after="120"/>
          <w:jc w:val="right"/>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2</w:t>
        </w:r>
        <w:r>
          <w:rPr>
            <w:rFonts w:ascii="Times New Roman" w:hAnsi="Times New Roman" w:cs="Times New Roman"/>
            <w:sz w:val="28"/>
            <w:szCs w:val="28"/>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1548694"/>
      <w:docPartObj>
        <w:docPartGallery w:val="autotext"/>
      </w:docPartObj>
    </w:sdtPr>
    <w:sdtEndPr>
      <w:rPr>
        <w:rFonts w:ascii="Times New Roman" w:hAnsi="Times New Roman" w:cs="Times New Roman"/>
        <w:sz w:val="28"/>
        <w:szCs w:val="28"/>
      </w:rPr>
    </w:sdtEndPr>
    <w:sdtContent>
      <w:p>
        <w:pPr>
          <w:pStyle w:val="21"/>
          <w:spacing w:before="120" w:after="120"/>
          <w:jc w:val="right"/>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2</w:t>
        </w:r>
        <w:r>
          <w:rPr>
            <w:rFonts w:ascii="Times New Roman" w:hAnsi="Times New Roman" w:cs="Times New Roman"/>
            <w:sz w:val="28"/>
            <w:szCs w:val="28"/>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32983605"/>
      <w:docPartObj>
        <w:docPartGallery w:val="autotext"/>
      </w:docPartObj>
    </w:sdtPr>
    <w:sdtEndPr>
      <w:rPr>
        <w:rFonts w:ascii="Times New Roman" w:hAnsi="Times New Roman" w:cs="Times New Roman"/>
        <w:sz w:val="28"/>
        <w:szCs w:val="28"/>
      </w:rPr>
    </w:sdtEndPr>
    <w:sdtContent>
      <w:p>
        <w:pPr>
          <w:pStyle w:val="21"/>
          <w:spacing w:before="120" w:after="120"/>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2</w:t>
        </w:r>
        <w:r>
          <w:rPr>
            <w:rFonts w:ascii="Times New Roman" w:hAnsi="Times New Roman" w:cs="Times New Roman"/>
            <w:sz w:val="28"/>
            <w:szCs w:val="28"/>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83067291"/>
      <w:docPartObj>
        <w:docPartGallery w:val="autotext"/>
      </w:docPartObj>
    </w:sdtPr>
    <w:sdtEndPr>
      <w:rPr>
        <w:rFonts w:ascii="Times New Roman" w:hAnsi="Times New Roman" w:cs="Times New Roman"/>
        <w:sz w:val="28"/>
        <w:szCs w:val="28"/>
      </w:rPr>
    </w:sdtEndPr>
    <w:sdtContent>
      <w:p>
        <w:pPr>
          <w:pStyle w:val="21"/>
          <w:spacing w:before="120" w:after="120"/>
          <w:jc w:val="right"/>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2</w:t>
        </w:r>
        <w:r>
          <w:rPr>
            <w:rFonts w:ascii="Times New Roman" w:hAnsi="Times New Roman" w:cs="Times New Roman"/>
            <w:sz w:val="28"/>
            <w:szCs w:val="28"/>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61386906"/>
      <w:docPartObj>
        <w:docPartGallery w:val="autotext"/>
      </w:docPartObj>
    </w:sdtPr>
    <w:sdtContent>
      <w:p>
        <w:pPr>
          <w:pStyle w:val="21"/>
          <w:spacing w:before="120" w:after="120"/>
        </w:pPr>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2</w:t>
        </w:r>
        <w:r>
          <w:rPr>
            <w:rFonts w:ascii="Times New Roman" w:hAnsi="Times New Roman" w:cs="Times New Roman"/>
            <w:sz w:val="28"/>
            <w:szCs w:val="28"/>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41490642"/>
      <w:docPartObj>
        <w:docPartGallery w:val="autotext"/>
      </w:docPartObj>
    </w:sdtPr>
    <w:sdtEndPr>
      <w:rPr>
        <w:rFonts w:ascii="Times New Roman" w:hAnsi="Times New Roman" w:cs="Times New Roman"/>
        <w:sz w:val="28"/>
        <w:szCs w:val="28"/>
      </w:rPr>
    </w:sdtEndPr>
    <w:sdtContent>
      <w:p>
        <w:pPr>
          <w:pStyle w:val="21"/>
          <w:spacing w:before="120" w:after="120"/>
          <w:jc w:val="right"/>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2</w:t>
        </w:r>
        <w:r>
          <w:rPr>
            <w:rFonts w:ascii="Times New Roman" w:hAnsi="Times New Roman" w:cs="Times New Roman"/>
            <w:sz w:val="28"/>
            <w:szCs w:val="28"/>
          </w:rP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1192768"/>
      <w:docPartObj>
        <w:docPartGallery w:val="autotext"/>
      </w:docPartObj>
    </w:sdtPr>
    <w:sdtEndPr>
      <w:rPr>
        <w:rFonts w:ascii="Times New Roman" w:hAnsi="Times New Roman" w:cs="Times New Roman"/>
        <w:sz w:val="28"/>
        <w:szCs w:val="28"/>
      </w:rPr>
    </w:sdtEndPr>
    <w:sdtContent>
      <w:p>
        <w:pPr>
          <w:pStyle w:val="21"/>
          <w:spacing w:before="120" w:after="120"/>
          <w:jc w:val="right"/>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2</w:t>
        </w:r>
        <w:r>
          <w:rPr>
            <w:rFonts w:ascii="Times New Roman" w:hAnsi="Times New Roman" w:cs="Times New Roman"/>
            <w:sz w:val="28"/>
            <w:szCs w:val="28"/>
          </w:rPr>
          <w:fldChar w:fldCharType="end"/>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4997633"/>
      <w:docPartObj>
        <w:docPartGallery w:val="autotext"/>
      </w:docPartObj>
    </w:sdtPr>
    <w:sdtEndPr>
      <w:rPr>
        <w:rFonts w:ascii="Times New Roman" w:hAnsi="Times New Roman" w:cs="Times New Roman"/>
        <w:sz w:val="28"/>
        <w:szCs w:val="28"/>
      </w:rPr>
    </w:sdtEndPr>
    <w:sdtContent>
      <w:p>
        <w:pPr>
          <w:pStyle w:val="21"/>
          <w:spacing w:before="120" w:after="120"/>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2</w:t>
        </w:r>
        <w:r>
          <w:rPr>
            <w:rFonts w:ascii="Times New Roman" w:hAnsi="Times New Roman" w:cs="Times New Roman"/>
            <w:sz w:val="28"/>
            <w:szCs w:val="28"/>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284" w:line="240" w:lineRule="auto"/>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3C2409"/>
    <w:multiLevelType w:val="multilevel"/>
    <w:tmpl w:val="1E3C2409"/>
    <w:lvl w:ilvl="0" w:tentative="0">
      <w:start w:val="1"/>
      <w:numFmt w:val="lowerLetter"/>
      <w:pStyle w:val="83"/>
      <w:lvlText w:val="%1)"/>
      <w:lvlJc w:val="left"/>
      <w:pPr>
        <w:ind w:left="780" w:hanging="360"/>
      </w:pPr>
      <w:rPr>
        <w:rFonts w:hint="default" w:cs="宋体"/>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2E32610F"/>
    <w:multiLevelType w:val="multilevel"/>
    <w:tmpl w:val="2E32610F"/>
    <w:lvl w:ilvl="0" w:tentative="0">
      <w:start w:val="1"/>
      <w:numFmt w:val="decimal"/>
      <w:pStyle w:val="82"/>
      <w:lvlText w:val="图%1 "/>
      <w:lvlJc w:val="left"/>
      <w:pPr>
        <w:ind w:left="220" w:hanging="420"/>
      </w:pPr>
      <w:rPr>
        <w:rFonts w:hint="default" w:ascii="Times New Roman" w:hAnsi="Times New Roman" w:eastAsia="黑体"/>
        <w:sz w:val="24"/>
        <w:szCs w:val="32"/>
      </w:rPr>
    </w:lvl>
    <w:lvl w:ilvl="1" w:tentative="0">
      <w:start w:val="1"/>
      <w:numFmt w:val="lowerLetter"/>
      <w:lvlText w:val="%2)"/>
      <w:lvlJc w:val="left"/>
      <w:pPr>
        <w:ind w:left="640" w:hanging="420"/>
      </w:pPr>
    </w:lvl>
    <w:lvl w:ilvl="2" w:tentative="0">
      <w:start w:val="1"/>
      <w:numFmt w:val="lowerRoman"/>
      <w:lvlText w:val="%3."/>
      <w:lvlJc w:val="right"/>
      <w:pPr>
        <w:ind w:left="1060" w:hanging="420"/>
      </w:pPr>
    </w:lvl>
    <w:lvl w:ilvl="3" w:tentative="0">
      <w:start w:val="1"/>
      <w:numFmt w:val="decimal"/>
      <w:lvlText w:val="%4."/>
      <w:lvlJc w:val="left"/>
      <w:pPr>
        <w:ind w:left="1480" w:hanging="420"/>
      </w:pPr>
    </w:lvl>
    <w:lvl w:ilvl="4" w:tentative="0">
      <w:start w:val="1"/>
      <w:numFmt w:val="lowerLetter"/>
      <w:lvlText w:val="%5)"/>
      <w:lvlJc w:val="left"/>
      <w:pPr>
        <w:ind w:left="1900" w:hanging="420"/>
      </w:pPr>
    </w:lvl>
    <w:lvl w:ilvl="5" w:tentative="0">
      <w:start w:val="1"/>
      <w:numFmt w:val="lowerRoman"/>
      <w:lvlText w:val="%6."/>
      <w:lvlJc w:val="right"/>
      <w:pPr>
        <w:ind w:left="2320" w:hanging="420"/>
      </w:pPr>
    </w:lvl>
    <w:lvl w:ilvl="6" w:tentative="0">
      <w:start w:val="1"/>
      <w:numFmt w:val="decimal"/>
      <w:lvlText w:val="%7."/>
      <w:lvlJc w:val="left"/>
      <w:pPr>
        <w:ind w:left="2740" w:hanging="420"/>
      </w:pPr>
    </w:lvl>
    <w:lvl w:ilvl="7" w:tentative="0">
      <w:start w:val="1"/>
      <w:numFmt w:val="lowerLetter"/>
      <w:lvlText w:val="%8)"/>
      <w:lvlJc w:val="left"/>
      <w:pPr>
        <w:ind w:left="3160" w:hanging="420"/>
      </w:pPr>
    </w:lvl>
    <w:lvl w:ilvl="8" w:tentative="0">
      <w:start w:val="1"/>
      <w:numFmt w:val="lowerRoman"/>
      <w:lvlText w:val="%9."/>
      <w:lvlJc w:val="right"/>
      <w:pPr>
        <w:ind w:left="3580" w:hanging="420"/>
      </w:pPr>
    </w:lvl>
  </w:abstractNum>
  <w:abstractNum w:abstractNumId="2">
    <w:nsid w:val="3D1C17D8"/>
    <w:multiLevelType w:val="multilevel"/>
    <w:tmpl w:val="3D1C17D8"/>
    <w:lvl w:ilvl="0" w:tentative="0">
      <w:start w:val="1"/>
      <w:numFmt w:val="decimal"/>
      <w:pStyle w:val="88"/>
      <w:lvlText w:val="表%1 "/>
      <w:lvlJc w:val="left"/>
      <w:pPr>
        <w:ind w:left="420" w:hanging="420"/>
      </w:pPr>
      <w:rPr>
        <w:b w:val="0"/>
        <w:bCs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57C2AF5"/>
    <w:multiLevelType w:val="multilevel"/>
    <w:tmpl w:val="557C2AF5"/>
    <w:lvl w:ilvl="0" w:tentative="0">
      <w:start w:val="1"/>
      <w:numFmt w:val="decimal"/>
      <w:pStyle w:val="106"/>
      <w:suff w:val="nothing"/>
      <w:lvlText w:val="图%1　"/>
      <w:lvlJc w:val="left"/>
      <w:rPr>
        <w:rFonts w:hint="eastAsia" w:ascii="黑体" w:hAnsi="Times New Roman" w:eastAsia="黑体"/>
        <w:b w:val="0"/>
        <w:bCs w:val="0"/>
        <w:i w:val="0"/>
        <w:iCs w:val="0"/>
        <w:sz w:val="21"/>
        <w:szCs w:val="21"/>
      </w:rPr>
    </w:lvl>
    <w:lvl w:ilvl="1" w:tentative="0">
      <w:start w:val="1"/>
      <w:numFmt w:val="decimal"/>
      <w:suff w:val="nothing"/>
      <w:lvlText w:val="%1%2　"/>
      <w:lvlJc w:val="left"/>
      <w:rPr>
        <w:rFonts w:hint="eastAsia" w:ascii="黑体" w:hAnsi="Times New Roman" w:eastAsia="黑体"/>
        <w:b w:val="0"/>
        <w:bCs w:val="0"/>
        <w:i w:val="0"/>
        <w:iCs w:val="0"/>
        <w:sz w:val="21"/>
        <w:szCs w:val="21"/>
      </w:rPr>
    </w:lvl>
    <w:lvl w:ilvl="2" w:tentative="0">
      <w:start w:val="1"/>
      <w:numFmt w:val="decimal"/>
      <w:suff w:val="nothing"/>
      <w:lvlText w:val="%1%2.%3　"/>
      <w:lvlJc w:val="left"/>
      <w:rPr>
        <w:rFonts w:hint="eastAsia" w:ascii="黑体" w:hAnsi="Times New Roman" w:eastAsia="黑体"/>
        <w:b w:val="0"/>
        <w:bCs w:val="0"/>
        <w:i w:val="0"/>
        <w:iCs w:val="0"/>
        <w:sz w:val="21"/>
        <w:szCs w:val="21"/>
      </w:rPr>
    </w:lvl>
    <w:lvl w:ilvl="3" w:tentative="0">
      <w:start w:val="1"/>
      <w:numFmt w:val="decimal"/>
      <w:suff w:val="nothing"/>
      <w:lvlText w:val="%1%2.%3.%4　"/>
      <w:lvlJc w:val="left"/>
      <w:rPr>
        <w:rFonts w:hint="eastAsia" w:ascii="黑体" w:hAnsi="Times New Roman" w:eastAsia="黑体"/>
        <w:b w:val="0"/>
        <w:bCs w:val="0"/>
        <w:i w:val="0"/>
        <w:iCs w:val="0"/>
        <w:sz w:val="21"/>
        <w:szCs w:val="21"/>
      </w:rPr>
    </w:lvl>
    <w:lvl w:ilvl="4" w:tentative="0">
      <w:start w:val="1"/>
      <w:numFmt w:val="decimal"/>
      <w:suff w:val="nothing"/>
      <w:lvlText w:val="%1%2.%3.%4.%5　"/>
      <w:lvlJc w:val="left"/>
      <w:rPr>
        <w:rFonts w:hint="eastAsia" w:ascii="黑体" w:hAnsi="Times New Roman" w:eastAsia="黑体"/>
        <w:b w:val="0"/>
        <w:bCs w:val="0"/>
        <w:i w:val="0"/>
        <w:iCs w:val="0"/>
        <w:sz w:val="21"/>
        <w:szCs w:val="21"/>
      </w:rPr>
    </w:lvl>
    <w:lvl w:ilvl="5" w:tentative="0">
      <w:start w:val="1"/>
      <w:numFmt w:val="decimal"/>
      <w:suff w:val="nothing"/>
      <w:lvlText w:val="%1%2.%3.%4.%5.%6　"/>
      <w:lvlJc w:val="left"/>
      <w:rPr>
        <w:rFonts w:hint="eastAsia" w:ascii="黑体" w:hAnsi="Times New Roman" w:eastAsia="黑体"/>
        <w:b w:val="0"/>
        <w:bCs w:val="0"/>
        <w:i w:val="0"/>
        <w:iCs w:val="0"/>
        <w:sz w:val="21"/>
        <w:szCs w:val="21"/>
      </w:rPr>
    </w:lvl>
    <w:lvl w:ilvl="6" w:tentative="0">
      <w:start w:val="1"/>
      <w:numFmt w:val="decimal"/>
      <w:suff w:val="nothing"/>
      <w:lvlText w:val="%1%2.%3.%4.%5.%6.%7　"/>
      <w:lvlJc w:val="left"/>
      <w:rPr>
        <w:rFonts w:hint="eastAsia" w:ascii="黑体" w:hAnsi="Times New Roman" w:eastAsia="黑体"/>
        <w:b w:val="0"/>
        <w:bCs w:val="0"/>
        <w:i w:val="0"/>
        <w:iCs w:val="0"/>
        <w:sz w:val="21"/>
        <w:szCs w:val="21"/>
      </w:rPr>
    </w:lvl>
    <w:lvl w:ilvl="7" w:tentative="0">
      <w:start w:val="1"/>
      <w:numFmt w:val="decimal"/>
      <w:lvlText w:val="%1.%2.%3.%4.%5.%6.%7.%8"/>
      <w:lvlJc w:val="left"/>
      <w:pPr>
        <w:tabs>
          <w:tab w:val="left" w:pos="4348"/>
        </w:tabs>
        <w:ind w:left="3969" w:hanging="1418"/>
      </w:pPr>
      <w:rPr>
        <w:rFonts w:hint="eastAsia" w:ascii="宋体" w:hAnsi="宋体" w:eastAsia="宋体"/>
        <w:sz w:val="24"/>
        <w:szCs w:val="24"/>
      </w:rPr>
    </w:lvl>
    <w:lvl w:ilvl="8" w:tentative="0">
      <w:start w:val="1"/>
      <w:numFmt w:val="decimal"/>
      <w:lvlText w:val="%1.%2.%3.%4.%5.%6.%7.%8.%9"/>
      <w:lvlJc w:val="left"/>
      <w:pPr>
        <w:tabs>
          <w:tab w:val="left" w:pos="4774"/>
        </w:tabs>
        <w:ind w:left="4677" w:hanging="1701"/>
      </w:pPr>
      <w:rPr>
        <w:rFonts w:hint="eastAsia" w:ascii="Times New Roman" w:hAnsi="Times New Roman" w:cs="Times New Roman"/>
        <w:sz w:val="24"/>
        <w:szCs w:val="24"/>
      </w:rPr>
    </w:lvl>
  </w:abstractNum>
  <w:abstractNum w:abstractNumId="4">
    <w:nsid w:val="591079F2"/>
    <w:multiLevelType w:val="multilevel"/>
    <w:tmpl w:val="591079F2"/>
    <w:lvl w:ilvl="0" w:tentative="0">
      <w:start w:val="1"/>
      <w:numFmt w:val="decimal"/>
      <w:pStyle w:val="113"/>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657D3FBC"/>
    <w:multiLevelType w:val="multilevel"/>
    <w:tmpl w:val="657D3FBC"/>
    <w:lvl w:ilvl="0" w:tentative="0">
      <w:start w:val="1"/>
      <w:numFmt w:val="upperLetter"/>
      <w:pStyle w:val="102"/>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03"/>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11"/>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6">
    <w:nsid w:val="6CEA2025"/>
    <w:multiLevelType w:val="multilevel"/>
    <w:tmpl w:val="6CEA2025"/>
    <w:lvl w:ilvl="0" w:tentative="0">
      <w:start w:val="1"/>
      <w:numFmt w:val="none"/>
      <w:pStyle w:val="67"/>
      <w:suff w:val="nothing"/>
      <w:lvlText w:val="%1"/>
      <w:lvlJc w:val="left"/>
      <w:rPr>
        <w:rFonts w:hint="default" w:ascii="Times New Roman" w:hAnsi="Times New Roman" w:cs="Times New Roman"/>
        <w:b/>
        <w:bCs/>
        <w:i w:val="0"/>
        <w:iCs w:val="0"/>
        <w:sz w:val="21"/>
        <w:szCs w:val="21"/>
      </w:rPr>
    </w:lvl>
    <w:lvl w:ilvl="1" w:tentative="0">
      <w:start w:val="1"/>
      <w:numFmt w:val="decimal"/>
      <w:pStyle w:val="54"/>
      <w:suff w:val="nothing"/>
      <w:lvlText w:val="%1%2　"/>
      <w:lvlJc w:val="left"/>
      <w:rPr>
        <w:b w:val="0"/>
        <w:bCs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2" w:tentative="0">
      <w:start w:val="1"/>
      <w:numFmt w:val="decimal"/>
      <w:pStyle w:val="66"/>
      <w:suff w:val="nothing"/>
      <w:lvlText w:val="%1%2.%3　"/>
      <w:lvlJc w:val="left"/>
      <w:rPr>
        <w:rFonts w:hint="eastAsia" w:ascii="黑体" w:hAnsi="Times New Roman" w:eastAsia="黑体"/>
        <w:b w:val="0"/>
        <w:bCs w:val="0"/>
        <w:i w:val="0"/>
        <w:iCs w:val="0"/>
        <w:sz w:val="32"/>
        <w:szCs w:val="32"/>
      </w:rPr>
    </w:lvl>
    <w:lvl w:ilvl="3" w:tentative="0">
      <w:start w:val="1"/>
      <w:numFmt w:val="decimal"/>
      <w:pStyle w:val="62"/>
      <w:suff w:val="nothing"/>
      <w:lvlText w:val="%1%2.%3.%4　"/>
      <w:lvlJc w:val="left"/>
      <w:rPr>
        <w:rFonts w:hint="eastAsia" w:ascii="黑体" w:hAnsi="Times New Roman" w:eastAsia="黑体"/>
        <w:b w:val="0"/>
        <w:bCs w:val="0"/>
        <w:i w:val="0"/>
        <w:iCs w:val="0"/>
        <w:sz w:val="32"/>
        <w:szCs w:val="32"/>
      </w:rPr>
    </w:lvl>
    <w:lvl w:ilvl="4" w:tentative="0">
      <w:start w:val="1"/>
      <w:numFmt w:val="decimal"/>
      <w:pStyle w:val="63"/>
      <w:suff w:val="nothing"/>
      <w:lvlText w:val="%1%2.%3.%4.%5　"/>
      <w:lvlJc w:val="left"/>
      <w:rPr>
        <w:rFonts w:hint="eastAsia" w:ascii="黑体" w:hAnsi="Times New Roman" w:eastAsia="黑体"/>
        <w:b w:val="0"/>
        <w:bCs w:val="0"/>
        <w:i w:val="0"/>
        <w:iCs w:val="0"/>
        <w:sz w:val="21"/>
        <w:szCs w:val="21"/>
      </w:rPr>
    </w:lvl>
    <w:lvl w:ilvl="5" w:tentative="0">
      <w:start w:val="1"/>
      <w:numFmt w:val="decimal"/>
      <w:pStyle w:val="64"/>
      <w:suff w:val="nothing"/>
      <w:lvlText w:val="%1%2.%3.%4.%5.%6　"/>
      <w:lvlJc w:val="left"/>
      <w:rPr>
        <w:rFonts w:hint="eastAsia" w:ascii="黑体" w:hAnsi="Times New Roman" w:eastAsia="黑体"/>
        <w:b w:val="0"/>
        <w:bCs w:val="0"/>
        <w:i w:val="0"/>
        <w:iCs w:val="0"/>
        <w:sz w:val="21"/>
        <w:szCs w:val="21"/>
      </w:rPr>
    </w:lvl>
    <w:lvl w:ilvl="6" w:tentative="0">
      <w:start w:val="1"/>
      <w:numFmt w:val="decimal"/>
      <w:pStyle w:val="65"/>
      <w:suff w:val="nothing"/>
      <w:lvlText w:val="%1%2.%3.%4.%5.%6.%7　"/>
      <w:lvlJc w:val="left"/>
      <w:rPr>
        <w:rFonts w:hint="eastAsia" w:ascii="黑体" w:hAnsi="Times New Roman" w:eastAsia="黑体"/>
        <w:b w:val="0"/>
        <w:bCs w:val="0"/>
        <w:i w:val="0"/>
        <w:iCs w:val="0"/>
        <w:sz w:val="21"/>
        <w:szCs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6"/>
  </w:num>
  <w:num w:numId="2">
    <w:abstractNumId w:val="1"/>
  </w:num>
  <w:num w:numId="3">
    <w:abstractNumId w:val="0"/>
  </w:num>
  <w:num w:numId="4">
    <w:abstractNumId w:val="2"/>
  </w:num>
  <w:num w:numId="5">
    <w:abstractNumId w:val="5"/>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850"/>
    <w:rsid w:val="00003FAE"/>
    <w:rsid w:val="00005457"/>
    <w:rsid w:val="00005FF5"/>
    <w:rsid w:val="0001162C"/>
    <w:rsid w:val="00014CBC"/>
    <w:rsid w:val="00020CD3"/>
    <w:rsid w:val="000220CA"/>
    <w:rsid w:val="00022FD1"/>
    <w:rsid w:val="00024B23"/>
    <w:rsid w:val="00025DC0"/>
    <w:rsid w:val="0002696E"/>
    <w:rsid w:val="000269D6"/>
    <w:rsid w:val="00031BBE"/>
    <w:rsid w:val="000328F0"/>
    <w:rsid w:val="000339ED"/>
    <w:rsid w:val="000346B1"/>
    <w:rsid w:val="0003673A"/>
    <w:rsid w:val="00042091"/>
    <w:rsid w:val="00042A58"/>
    <w:rsid w:val="00043BBF"/>
    <w:rsid w:val="0004541F"/>
    <w:rsid w:val="0004662A"/>
    <w:rsid w:val="000473EC"/>
    <w:rsid w:val="00047524"/>
    <w:rsid w:val="00053ADA"/>
    <w:rsid w:val="00054640"/>
    <w:rsid w:val="000567EF"/>
    <w:rsid w:val="000579A2"/>
    <w:rsid w:val="00057BCB"/>
    <w:rsid w:val="000617DB"/>
    <w:rsid w:val="00064FF5"/>
    <w:rsid w:val="000658EC"/>
    <w:rsid w:val="00070F77"/>
    <w:rsid w:val="0007115C"/>
    <w:rsid w:val="00071E26"/>
    <w:rsid w:val="00075356"/>
    <w:rsid w:val="0008164F"/>
    <w:rsid w:val="000824B9"/>
    <w:rsid w:val="00082CDB"/>
    <w:rsid w:val="000832D4"/>
    <w:rsid w:val="00086F5D"/>
    <w:rsid w:val="00087896"/>
    <w:rsid w:val="000925F7"/>
    <w:rsid w:val="00093AF1"/>
    <w:rsid w:val="0009458A"/>
    <w:rsid w:val="000A0A7B"/>
    <w:rsid w:val="000A3872"/>
    <w:rsid w:val="000A5552"/>
    <w:rsid w:val="000A66A4"/>
    <w:rsid w:val="000A673F"/>
    <w:rsid w:val="000A7013"/>
    <w:rsid w:val="000A79D9"/>
    <w:rsid w:val="000B07E9"/>
    <w:rsid w:val="000B6447"/>
    <w:rsid w:val="000C0667"/>
    <w:rsid w:val="000C1DC6"/>
    <w:rsid w:val="000C3875"/>
    <w:rsid w:val="000C65C9"/>
    <w:rsid w:val="000C6FAC"/>
    <w:rsid w:val="000C7161"/>
    <w:rsid w:val="000C7BAE"/>
    <w:rsid w:val="000D1B9A"/>
    <w:rsid w:val="000D24BE"/>
    <w:rsid w:val="000D3B16"/>
    <w:rsid w:val="000D3E2B"/>
    <w:rsid w:val="000D688C"/>
    <w:rsid w:val="000E5F7A"/>
    <w:rsid w:val="000E62B6"/>
    <w:rsid w:val="000F0CE0"/>
    <w:rsid w:val="000F24F0"/>
    <w:rsid w:val="000F5B65"/>
    <w:rsid w:val="000F73DC"/>
    <w:rsid w:val="00100E2E"/>
    <w:rsid w:val="0010206D"/>
    <w:rsid w:val="0010284F"/>
    <w:rsid w:val="00103ABC"/>
    <w:rsid w:val="001049A4"/>
    <w:rsid w:val="001060BF"/>
    <w:rsid w:val="00114D03"/>
    <w:rsid w:val="00116861"/>
    <w:rsid w:val="00116B4A"/>
    <w:rsid w:val="001206E3"/>
    <w:rsid w:val="00122B13"/>
    <w:rsid w:val="001234BB"/>
    <w:rsid w:val="001246B0"/>
    <w:rsid w:val="0012661B"/>
    <w:rsid w:val="00126DEF"/>
    <w:rsid w:val="00126DF5"/>
    <w:rsid w:val="00136997"/>
    <w:rsid w:val="0013715D"/>
    <w:rsid w:val="0014036F"/>
    <w:rsid w:val="00145B60"/>
    <w:rsid w:val="00147FA0"/>
    <w:rsid w:val="00151024"/>
    <w:rsid w:val="00152214"/>
    <w:rsid w:val="00153FFF"/>
    <w:rsid w:val="00155C6B"/>
    <w:rsid w:val="0015626C"/>
    <w:rsid w:val="00161725"/>
    <w:rsid w:val="001622E6"/>
    <w:rsid w:val="001665A2"/>
    <w:rsid w:val="00166B33"/>
    <w:rsid w:val="00170231"/>
    <w:rsid w:val="00172B3E"/>
    <w:rsid w:val="00172C1E"/>
    <w:rsid w:val="001763A6"/>
    <w:rsid w:val="00176CC5"/>
    <w:rsid w:val="00177F1B"/>
    <w:rsid w:val="00181276"/>
    <w:rsid w:val="00182A98"/>
    <w:rsid w:val="00182FF3"/>
    <w:rsid w:val="00183F89"/>
    <w:rsid w:val="0018546E"/>
    <w:rsid w:val="001857E5"/>
    <w:rsid w:val="00185F6F"/>
    <w:rsid w:val="00187923"/>
    <w:rsid w:val="0019214C"/>
    <w:rsid w:val="0019228A"/>
    <w:rsid w:val="00194BBA"/>
    <w:rsid w:val="00195DFA"/>
    <w:rsid w:val="00197850"/>
    <w:rsid w:val="001A0A0F"/>
    <w:rsid w:val="001A17C8"/>
    <w:rsid w:val="001A2AC9"/>
    <w:rsid w:val="001A4EF0"/>
    <w:rsid w:val="001A6BBB"/>
    <w:rsid w:val="001B0682"/>
    <w:rsid w:val="001B08D4"/>
    <w:rsid w:val="001B0DCD"/>
    <w:rsid w:val="001B36DD"/>
    <w:rsid w:val="001B5CE2"/>
    <w:rsid w:val="001C0A39"/>
    <w:rsid w:val="001C3789"/>
    <w:rsid w:val="001C626A"/>
    <w:rsid w:val="001C6D03"/>
    <w:rsid w:val="001C71DD"/>
    <w:rsid w:val="001C7C17"/>
    <w:rsid w:val="001C7CDF"/>
    <w:rsid w:val="001D1228"/>
    <w:rsid w:val="001D418E"/>
    <w:rsid w:val="001D77DA"/>
    <w:rsid w:val="001D79FA"/>
    <w:rsid w:val="001D7C7B"/>
    <w:rsid w:val="001E0E21"/>
    <w:rsid w:val="001E1458"/>
    <w:rsid w:val="001E1ED6"/>
    <w:rsid w:val="001E57FE"/>
    <w:rsid w:val="001E594E"/>
    <w:rsid w:val="001F3299"/>
    <w:rsid w:val="001F415A"/>
    <w:rsid w:val="001F4673"/>
    <w:rsid w:val="001F66A7"/>
    <w:rsid w:val="001F6B5F"/>
    <w:rsid w:val="001F736A"/>
    <w:rsid w:val="001F7C08"/>
    <w:rsid w:val="0020099E"/>
    <w:rsid w:val="00201A9F"/>
    <w:rsid w:val="00203B98"/>
    <w:rsid w:val="00204F9E"/>
    <w:rsid w:val="00205696"/>
    <w:rsid w:val="00206717"/>
    <w:rsid w:val="002129C3"/>
    <w:rsid w:val="00214A8A"/>
    <w:rsid w:val="002154C7"/>
    <w:rsid w:val="0021579D"/>
    <w:rsid w:val="00221BE1"/>
    <w:rsid w:val="00222308"/>
    <w:rsid w:val="0022480C"/>
    <w:rsid w:val="00226ABA"/>
    <w:rsid w:val="00230E80"/>
    <w:rsid w:val="002369AD"/>
    <w:rsid w:val="002375B8"/>
    <w:rsid w:val="0024058F"/>
    <w:rsid w:val="00241071"/>
    <w:rsid w:val="00241E15"/>
    <w:rsid w:val="002424D8"/>
    <w:rsid w:val="00242B08"/>
    <w:rsid w:val="00245661"/>
    <w:rsid w:val="002513B8"/>
    <w:rsid w:val="002514F4"/>
    <w:rsid w:val="002515FE"/>
    <w:rsid w:val="002535A1"/>
    <w:rsid w:val="00256045"/>
    <w:rsid w:val="00257D51"/>
    <w:rsid w:val="002625EC"/>
    <w:rsid w:val="00263F06"/>
    <w:rsid w:val="0026404C"/>
    <w:rsid w:val="00264CDB"/>
    <w:rsid w:val="00265CF4"/>
    <w:rsid w:val="00265E44"/>
    <w:rsid w:val="00267827"/>
    <w:rsid w:val="00272374"/>
    <w:rsid w:val="0027265B"/>
    <w:rsid w:val="0027286A"/>
    <w:rsid w:val="002735CD"/>
    <w:rsid w:val="002757CD"/>
    <w:rsid w:val="002764DB"/>
    <w:rsid w:val="00277943"/>
    <w:rsid w:val="00284134"/>
    <w:rsid w:val="00287447"/>
    <w:rsid w:val="0029450A"/>
    <w:rsid w:val="002946EC"/>
    <w:rsid w:val="002948B4"/>
    <w:rsid w:val="002A1CB1"/>
    <w:rsid w:val="002A1CD0"/>
    <w:rsid w:val="002A518B"/>
    <w:rsid w:val="002A554C"/>
    <w:rsid w:val="002A5FE0"/>
    <w:rsid w:val="002B2331"/>
    <w:rsid w:val="002B7829"/>
    <w:rsid w:val="002C1E25"/>
    <w:rsid w:val="002C3435"/>
    <w:rsid w:val="002C4DB7"/>
    <w:rsid w:val="002C5134"/>
    <w:rsid w:val="002C7B57"/>
    <w:rsid w:val="002C7B60"/>
    <w:rsid w:val="002D455F"/>
    <w:rsid w:val="002D503D"/>
    <w:rsid w:val="002D5564"/>
    <w:rsid w:val="002E0816"/>
    <w:rsid w:val="002E0DFB"/>
    <w:rsid w:val="002E2D64"/>
    <w:rsid w:val="002E4926"/>
    <w:rsid w:val="002F12CE"/>
    <w:rsid w:val="002F1FE6"/>
    <w:rsid w:val="002F20E7"/>
    <w:rsid w:val="002F286F"/>
    <w:rsid w:val="002F4E5F"/>
    <w:rsid w:val="002F5534"/>
    <w:rsid w:val="002F5E61"/>
    <w:rsid w:val="002F6205"/>
    <w:rsid w:val="002F620E"/>
    <w:rsid w:val="002F7437"/>
    <w:rsid w:val="002F7E53"/>
    <w:rsid w:val="003008C9"/>
    <w:rsid w:val="00300F34"/>
    <w:rsid w:val="003011DA"/>
    <w:rsid w:val="00301BD7"/>
    <w:rsid w:val="003031F9"/>
    <w:rsid w:val="003037BF"/>
    <w:rsid w:val="0030463B"/>
    <w:rsid w:val="0030473C"/>
    <w:rsid w:val="00305645"/>
    <w:rsid w:val="00310958"/>
    <w:rsid w:val="003155B2"/>
    <w:rsid w:val="0031575C"/>
    <w:rsid w:val="00321E81"/>
    <w:rsid w:val="00321FEE"/>
    <w:rsid w:val="00323415"/>
    <w:rsid w:val="003249BF"/>
    <w:rsid w:val="003255B8"/>
    <w:rsid w:val="003264BB"/>
    <w:rsid w:val="00326CA1"/>
    <w:rsid w:val="0032733A"/>
    <w:rsid w:val="003314BF"/>
    <w:rsid w:val="0033158A"/>
    <w:rsid w:val="00333154"/>
    <w:rsid w:val="00333C16"/>
    <w:rsid w:val="00335C4E"/>
    <w:rsid w:val="0033755E"/>
    <w:rsid w:val="003404A6"/>
    <w:rsid w:val="003411B5"/>
    <w:rsid w:val="00341990"/>
    <w:rsid w:val="00347FBC"/>
    <w:rsid w:val="0035033B"/>
    <w:rsid w:val="00352387"/>
    <w:rsid w:val="00352F36"/>
    <w:rsid w:val="00353DD1"/>
    <w:rsid w:val="0035519A"/>
    <w:rsid w:val="00355565"/>
    <w:rsid w:val="00355979"/>
    <w:rsid w:val="00355B99"/>
    <w:rsid w:val="00356223"/>
    <w:rsid w:val="0036221F"/>
    <w:rsid w:val="00366307"/>
    <w:rsid w:val="003671ED"/>
    <w:rsid w:val="0036794C"/>
    <w:rsid w:val="00371198"/>
    <w:rsid w:val="00372404"/>
    <w:rsid w:val="0037385E"/>
    <w:rsid w:val="00374C3C"/>
    <w:rsid w:val="00376294"/>
    <w:rsid w:val="0038104A"/>
    <w:rsid w:val="0038526E"/>
    <w:rsid w:val="0039140F"/>
    <w:rsid w:val="00393CAE"/>
    <w:rsid w:val="00394D3B"/>
    <w:rsid w:val="00395E50"/>
    <w:rsid w:val="00397B83"/>
    <w:rsid w:val="003A0917"/>
    <w:rsid w:val="003A24BE"/>
    <w:rsid w:val="003A6763"/>
    <w:rsid w:val="003B22F1"/>
    <w:rsid w:val="003B392B"/>
    <w:rsid w:val="003C04CB"/>
    <w:rsid w:val="003C28D9"/>
    <w:rsid w:val="003C3CCA"/>
    <w:rsid w:val="003C437A"/>
    <w:rsid w:val="003C4A54"/>
    <w:rsid w:val="003C5653"/>
    <w:rsid w:val="003C653C"/>
    <w:rsid w:val="003C747C"/>
    <w:rsid w:val="003D0BD6"/>
    <w:rsid w:val="003D5692"/>
    <w:rsid w:val="003D59CF"/>
    <w:rsid w:val="003D63E2"/>
    <w:rsid w:val="003D6612"/>
    <w:rsid w:val="003D6681"/>
    <w:rsid w:val="003D7D18"/>
    <w:rsid w:val="003E0F15"/>
    <w:rsid w:val="003E1BCE"/>
    <w:rsid w:val="003E2628"/>
    <w:rsid w:val="003F11F3"/>
    <w:rsid w:val="003F27F9"/>
    <w:rsid w:val="003F2CF7"/>
    <w:rsid w:val="003F3C99"/>
    <w:rsid w:val="003F4FA2"/>
    <w:rsid w:val="003F62D8"/>
    <w:rsid w:val="003F6F60"/>
    <w:rsid w:val="003F7373"/>
    <w:rsid w:val="0040052A"/>
    <w:rsid w:val="00400AA8"/>
    <w:rsid w:val="00403B8D"/>
    <w:rsid w:val="00404522"/>
    <w:rsid w:val="00404E37"/>
    <w:rsid w:val="004066D5"/>
    <w:rsid w:val="004115DB"/>
    <w:rsid w:val="0041174E"/>
    <w:rsid w:val="00412CC7"/>
    <w:rsid w:val="0041369E"/>
    <w:rsid w:val="00413E79"/>
    <w:rsid w:val="0042072B"/>
    <w:rsid w:val="00422CB4"/>
    <w:rsid w:val="00423992"/>
    <w:rsid w:val="00430F20"/>
    <w:rsid w:val="00432E59"/>
    <w:rsid w:val="00433433"/>
    <w:rsid w:val="00433621"/>
    <w:rsid w:val="00436E1F"/>
    <w:rsid w:val="00437F25"/>
    <w:rsid w:val="00441988"/>
    <w:rsid w:val="0044442A"/>
    <w:rsid w:val="00445819"/>
    <w:rsid w:val="004473CA"/>
    <w:rsid w:val="004479D7"/>
    <w:rsid w:val="00451E1F"/>
    <w:rsid w:val="004524E3"/>
    <w:rsid w:val="00453238"/>
    <w:rsid w:val="00455C47"/>
    <w:rsid w:val="004571FD"/>
    <w:rsid w:val="004707D2"/>
    <w:rsid w:val="00474A41"/>
    <w:rsid w:val="004760DD"/>
    <w:rsid w:val="00476371"/>
    <w:rsid w:val="00476A50"/>
    <w:rsid w:val="00477645"/>
    <w:rsid w:val="00480617"/>
    <w:rsid w:val="00480644"/>
    <w:rsid w:val="0048166E"/>
    <w:rsid w:val="00481A84"/>
    <w:rsid w:val="00483A42"/>
    <w:rsid w:val="00486219"/>
    <w:rsid w:val="00487A25"/>
    <w:rsid w:val="0049438D"/>
    <w:rsid w:val="00495E73"/>
    <w:rsid w:val="00496F40"/>
    <w:rsid w:val="004A3C6A"/>
    <w:rsid w:val="004A4462"/>
    <w:rsid w:val="004B0091"/>
    <w:rsid w:val="004B1A02"/>
    <w:rsid w:val="004B62C8"/>
    <w:rsid w:val="004B695C"/>
    <w:rsid w:val="004B7310"/>
    <w:rsid w:val="004C0A8D"/>
    <w:rsid w:val="004C1995"/>
    <w:rsid w:val="004C1A2D"/>
    <w:rsid w:val="004C5CD5"/>
    <w:rsid w:val="004C5F51"/>
    <w:rsid w:val="004C60E0"/>
    <w:rsid w:val="004C77EE"/>
    <w:rsid w:val="004D0C1E"/>
    <w:rsid w:val="004D2205"/>
    <w:rsid w:val="004E0B36"/>
    <w:rsid w:val="004E415D"/>
    <w:rsid w:val="004E4217"/>
    <w:rsid w:val="004E47D1"/>
    <w:rsid w:val="004E4B44"/>
    <w:rsid w:val="004E5CC3"/>
    <w:rsid w:val="004E65DF"/>
    <w:rsid w:val="004E67C0"/>
    <w:rsid w:val="004F138D"/>
    <w:rsid w:val="004F1453"/>
    <w:rsid w:val="004F3854"/>
    <w:rsid w:val="004F398E"/>
    <w:rsid w:val="004F572B"/>
    <w:rsid w:val="004F6362"/>
    <w:rsid w:val="004F6C65"/>
    <w:rsid w:val="0050280C"/>
    <w:rsid w:val="00503520"/>
    <w:rsid w:val="0050399B"/>
    <w:rsid w:val="0050428B"/>
    <w:rsid w:val="00506728"/>
    <w:rsid w:val="00506996"/>
    <w:rsid w:val="005100A7"/>
    <w:rsid w:val="00511CB1"/>
    <w:rsid w:val="005129CF"/>
    <w:rsid w:val="005140CA"/>
    <w:rsid w:val="0051518A"/>
    <w:rsid w:val="00520803"/>
    <w:rsid w:val="00520BEA"/>
    <w:rsid w:val="00521F0B"/>
    <w:rsid w:val="0052218B"/>
    <w:rsid w:val="00522922"/>
    <w:rsid w:val="00523BD1"/>
    <w:rsid w:val="0053188A"/>
    <w:rsid w:val="00532CFF"/>
    <w:rsid w:val="005350ED"/>
    <w:rsid w:val="0053650D"/>
    <w:rsid w:val="00537E9A"/>
    <w:rsid w:val="00541077"/>
    <w:rsid w:val="005418EB"/>
    <w:rsid w:val="00542E1B"/>
    <w:rsid w:val="005568E1"/>
    <w:rsid w:val="005575DA"/>
    <w:rsid w:val="00557EB8"/>
    <w:rsid w:val="00564EEE"/>
    <w:rsid w:val="0057181F"/>
    <w:rsid w:val="00572836"/>
    <w:rsid w:val="00574D52"/>
    <w:rsid w:val="005754F5"/>
    <w:rsid w:val="0057551E"/>
    <w:rsid w:val="005757AB"/>
    <w:rsid w:val="005801BA"/>
    <w:rsid w:val="00583F46"/>
    <w:rsid w:val="005840B2"/>
    <w:rsid w:val="00584453"/>
    <w:rsid w:val="00585381"/>
    <w:rsid w:val="005863FC"/>
    <w:rsid w:val="005871F8"/>
    <w:rsid w:val="005930FF"/>
    <w:rsid w:val="0059463C"/>
    <w:rsid w:val="005975C3"/>
    <w:rsid w:val="005979A7"/>
    <w:rsid w:val="005A0439"/>
    <w:rsid w:val="005A2549"/>
    <w:rsid w:val="005A4C55"/>
    <w:rsid w:val="005A4C73"/>
    <w:rsid w:val="005A505A"/>
    <w:rsid w:val="005A5F1C"/>
    <w:rsid w:val="005A5F7B"/>
    <w:rsid w:val="005B09E3"/>
    <w:rsid w:val="005B1300"/>
    <w:rsid w:val="005B1A01"/>
    <w:rsid w:val="005B1BC3"/>
    <w:rsid w:val="005B6BC3"/>
    <w:rsid w:val="005B75E6"/>
    <w:rsid w:val="005B7ED4"/>
    <w:rsid w:val="005C1062"/>
    <w:rsid w:val="005C3AC5"/>
    <w:rsid w:val="005C5140"/>
    <w:rsid w:val="005C68BD"/>
    <w:rsid w:val="005D1C16"/>
    <w:rsid w:val="005D28BA"/>
    <w:rsid w:val="005D2A9F"/>
    <w:rsid w:val="005D4CE7"/>
    <w:rsid w:val="005D699D"/>
    <w:rsid w:val="005E3E62"/>
    <w:rsid w:val="005E5CBA"/>
    <w:rsid w:val="005E7763"/>
    <w:rsid w:val="005E7DDC"/>
    <w:rsid w:val="005F468D"/>
    <w:rsid w:val="005F496B"/>
    <w:rsid w:val="005F50F6"/>
    <w:rsid w:val="005F51F5"/>
    <w:rsid w:val="005F671E"/>
    <w:rsid w:val="005F6E6B"/>
    <w:rsid w:val="005F7C28"/>
    <w:rsid w:val="006012FA"/>
    <w:rsid w:val="00601B5B"/>
    <w:rsid w:val="0060208A"/>
    <w:rsid w:val="0060392D"/>
    <w:rsid w:val="00604244"/>
    <w:rsid w:val="00605865"/>
    <w:rsid w:val="006064A8"/>
    <w:rsid w:val="006102F0"/>
    <w:rsid w:val="00611DDC"/>
    <w:rsid w:val="006122F5"/>
    <w:rsid w:val="0061404F"/>
    <w:rsid w:val="00614E1B"/>
    <w:rsid w:val="00616B88"/>
    <w:rsid w:val="00616CE4"/>
    <w:rsid w:val="00620E36"/>
    <w:rsid w:val="0062136E"/>
    <w:rsid w:val="00621A0F"/>
    <w:rsid w:val="00625DA1"/>
    <w:rsid w:val="006323F9"/>
    <w:rsid w:val="00632819"/>
    <w:rsid w:val="0063488A"/>
    <w:rsid w:val="006348FC"/>
    <w:rsid w:val="006349BF"/>
    <w:rsid w:val="006349EF"/>
    <w:rsid w:val="00635275"/>
    <w:rsid w:val="00635AC5"/>
    <w:rsid w:val="00635E89"/>
    <w:rsid w:val="00640A9B"/>
    <w:rsid w:val="00641307"/>
    <w:rsid w:val="00643EED"/>
    <w:rsid w:val="006444C0"/>
    <w:rsid w:val="00644B6A"/>
    <w:rsid w:val="0064500D"/>
    <w:rsid w:val="0064763A"/>
    <w:rsid w:val="006478D3"/>
    <w:rsid w:val="00657F74"/>
    <w:rsid w:val="00660029"/>
    <w:rsid w:val="006607D5"/>
    <w:rsid w:val="006617E6"/>
    <w:rsid w:val="006619D6"/>
    <w:rsid w:val="00662A9E"/>
    <w:rsid w:val="00664DD0"/>
    <w:rsid w:val="00665241"/>
    <w:rsid w:val="0066634E"/>
    <w:rsid w:val="00666805"/>
    <w:rsid w:val="006668AB"/>
    <w:rsid w:val="00667D23"/>
    <w:rsid w:val="00670009"/>
    <w:rsid w:val="0067049E"/>
    <w:rsid w:val="0067054F"/>
    <w:rsid w:val="00670C83"/>
    <w:rsid w:val="00671830"/>
    <w:rsid w:val="00671922"/>
    <w:rsid w:val="006721D1"/>
    <w:rsid w:val="0067358E"/>
    <w:rsid w:val="006745FC"/>
    <w:rsid w:val="00675459"/>
    <w:rsid w:val="0067619F"/>
    <w:rsid w:val="006806DB"/>
    <w:rsid w:val="00680F62"/>
    <w:rsid w:val="0068292A"/>
    <w:rsid w:val="0068378E"/>
    <w:rsid w:val="00685450"/>
    <w:rsid w:val="00686E97"/>
    <w:rsid w:val="00687BED"/>
    <w:rsid w:val="0069322D"/>
    <w:rsid w:val="006943CD"/>
    <w:rsid w:val="006A193A"/>
    <w:rsid w:val="006A2DB4"/>
    <w:rsid w:val="006A3008"/>
    <w:rsid w:val="006A473E"/>
    <w:rsid w:val="006A4AAC"/>
    <w:rsid w:val="006A6FA9"/>
    <w:rsid w:val="006A7F59"/>
    <w:rsid w:val="006B06E6"/>
    <w:rsid w:val="006B13F0"/>
    <w:rsid w:val="006B44A9"/>
    <w:rsid w:val="006B4974"/>
    <w:rsid w:val="006B725F"/>
    <w:rsid w:val="006B7844"/>
    <w:rsid w:val="006C080A"/>
    <w:rsid w:val="006C5C28"/>
    <w:rsid w:val="006C7AFC"/>
    <w:rsid w:val="006C7D79"/>
    <w:rsid w:val="006D0870"/>
    <w:rsid w:val="006E11EC"/>
    <w:rsid w:val="006E3BF1"/>
    <w:rsid w:val="006E4D2B"/>
    <w:rsid w:val="006F3AB9"/>
    <w:rsid w:val="006F6631"/>
    <w:rsid w:val="006F6980"/>
    <w:rsid w:val="006F749B"/>
    <w:rsid w:val="00700C3C"/>
    <w:rsid w:val="00701791"/>
    <w:rsid w:val="0070375B"/>
    <w:rsid w:val="00703C38"/>
    <w:rsid w:val="0070498D"/>
    <w:rsid w:val="00704BD6"/>
    <w:rsid w:val="00704D32"/>
    <w:rsid w:val="00704D51"/>
    <w:rsid w:val="0070625B"/>
    <w:rsid w:val="007067EA"/>
    <w:rsid w:val="00707765"/>
    <w:rsid w:val="0071060E"/>
    <w:rsid w:val="00710C63"/>
    <w:rsid w:val="00714F57"/>
    <w:rsid w:val="0071776D"/>
    <w:rsid w:val="00717A79"/>
    <w:rsid w:val="00720F4A"/>
    <w:rsid w:val="0072145A"/>
    <w:rsid w:val="00721C0C"/>
    <w:rsid w:val="00722E75"/>
    <w:rsid w:val="00731596"/>
    <w:rsid w:val="00733268"/>
    <w:rsid w:val="00734846"/>
    <w:rsid w:val="00735EA5"/>
    <w:rsid w:val="007402EE"/>
    <w:rsid w:val="00741D51"/>
    <w:rsid w:val="0074576E"/>
    <w:rsid w:val="007465BC"/>
    <w:rsid w:val="0075272E"/>
    <w:rsid w:val="00752A9B"/>
    <w:rsid w:val="00752AF0"/>
    <w:rsid w:val="007543C9"/>
    <w:rsid w:val="0075497A"/>
    <w:rsid w:val="007558E9"/>
    <w:rsid w:val="007611FB"/>
    <w:rsid w:val="00761691"/>
    <w:rsid w:val="007656F8"/>
    <w:rsid w:val="00765B1A"/>
    <w:rsid w:val="007665BD"/>
    <w:rsid w:val="00766678"/>
    <w:rsid w:val="007705F7"/>
    <w:rsid w:val="00770F64"/>
    <w:rsid w:val="00771A4B"/>
    <w:rsid w:val="00773281"/>
    <w:rsid w:val="007734D4"/>
    <w:rsid w:val="007736F6"/>
    <w:rsid w:val="00773E0C"/>
    <w:rsid w:val="00784C08"/>
    <w:rsid w:val="007869FE"/>
    <w:rsid w:val="00790330"/>
    <w:rsid w:val="00794A45"/>
    <w:rsid w:val="007956F1"/>
    <w:rsid w:val="007A0F41"/>
    <w:rsid w:val="007A337E"/>
    <w:rsid w:val="007A3BD6"/>
    <w:rsid w:val="007A4236"/>
    <w:rsid w:val="007A52B2"/>
    <w:rsid w:val="007A6ED4"/>
    <w:rsid w:val="007A777A"/>
    <w:rsid w:val="007A7F92"/>
    <w:rsid w:val="007B025E"/>
    <w:rsid w:val="007B0953"/>
    <w:rsid w:val="007B095A"/>
    <w:rsid w:val="007B0A99"/>
    <w:rsid w:val="007B20D6"/>
    <w:rsid w:val="007B4558"/>
    <w:rsid w:val="007B6E62"/>
    <w:rsid w:val="007C0EEE"/>
    <w:rsid w:val="007C28E3"/>
    <w:rsid w:val="007C575A"/>
    <w:rsid w:val="007D0356"/>
    <w:rsid w:val="007D1F44"/>
    <w:rsid w:val="007D3060"/>
    <w:rsid w:val="007D6112"/>
    <w:rsid w:val="007D6416"/>
    <w:rsid w:val="007D6821"/>
    <w:rsid w:val="007D73B1"/>
    <w:rsid w:val="007D78BB"/>
    <w:rsid w:val="007E328D"/>
    <w:rsid w:val="007E3AFF"/>
    <w:rsid w:val="007E664B"/>
    <w:rsid w:val="007E715F"/>
    <w:rsid w:val="007F10D9"/>
    <w:rsid w:val="007F3A3E"/>
    <w:rsid w:val="007F5DE0"/>
    <w:rsid w:val="00800BD1"/>
    <w:rsid w:val="00802596"/>
    <w:rsid w:val="00806A2B"/>
    <w:rsid w:val="008077E1"/>
    <w:rsid w:val="00807B39"/>
    <w:rsid w:val="0081210F"/>
    <w:rsid w:val="00813212"/>
    <w:rsid w:val="00815459"/>
    <w:rsid w:val="008171CC"/>
    <w:rsid w:val="00820C97"/>
    <w:rsid w:val="00821F71"/>
    <w:rsid w:val="00824EFF"/>
    <w:rsid w:val="008263E9"/>
    <w:rsid w:val="008308A1"/>
    <w:rsid w:val="00831FDE"/>
    <w:rsid w:val="0083355A"/>
    <w:rsid w:val="00833B45"/>
    <w:rsid w:val="00835574"/>
    <w:rsid w:val="00836418"/>
    <w:rsid w:val="00836C55"/>
    <w:rsid w:val="00837BCA"/>
    <w:rsid w:val="00843B0C"/>
    <w:rsid w:val="00843F18"/>
    <w:rsid w:val="00844FD3"/>
    <w:rsid w:val="00845498"/>
    <w:rsid w:val="00845CA2"/>
    <w:rsid w:val="00847146"/>
    <w:rsid w:val="00847610"/>
    <w:rsid w:val="008501FE"/>
    <w:rsid w:val="008513C7"/>
    <w:rsid w:val="008517A3"/>
    <w:rsid w:val="008528DB"/>
    <w:rsid w:val="00855261"/>
    <w:rsid w:val="008553DA"/>
    <w:rsid w:val="008564B1"/>
    <w:rsid w:val="0085706B"/>
    <w:rsid w:val="008578D3"/>
    <w:rsid w:val="00857CD0"/>
    <w:rsid w:val="00860119"/>
    <w:rsid w:val="00864815"/>
    <w:rsid w:val="00866D3B"/>
    <w:rsid w:val="00870E9E"/>
    <w:rsid w:val="0087534F"/>
    <w:rsid w:val="00876C1C"/>
    <w:rsid w:val="00881098"/>
    <w:rsid w:val="008863C7"/>
    <w:rsid w:val="00886D1D"/>
    <w:rsid w:val="00890A5A"/>
    <w:rsid w:val="008917DB"/>
    <w:rsid w:val="008917E1"/>
    <w:rsid w:val="00894A64"/>
    <w:rsid w:val="00897704"/>
    <w:rsid w:val="008A2B55"/>
    <w:rsid w:val="008A426B"/>
    <w:rsid w:val="008A6443"/>
    <w:rsid w:val="008A782E"/>
    <w:rsid w:val="008B46EA"/>
    <w:rsid w:val="008B4E71"/>
    <w:rsid w:val="008C0620"/>
    <w:rsid w:val="008C10B3"/>
    <w:rsid w:val="008C3510"/>
    <w:rsid w:val="008C3961"/>
    <w:rsid w:val="008C3D80"/>
    <w:rsid w:val="008C5F1E"/>
    <w:rsid w:val="008C658B"/>
    <w:rsid w:val="008C6645"/>
    <w:rsid w:val="008D0BA4"/>
    <w:rsid w:val="008D1CA1"/>
    <w:rsid w:val="008D37F6"/>
    <w:rsid w:val="008D5A30"/>
    <w:rsid w:val="008D6CCE"/>
    <w:rsid w:val="008D709B"/>
    <w:rsid w:val="008E020F"/>
    <w:rsid w:val="008E2339"/>
    <w:rsid w:val="008E34E8"/>
    <w:rsid w:val="008E3C77"/>
    <w:rsid w:val="008E3FED"/>
    <w:rsid w:val="008E65DA"/>
    <w:rsid w:val="008E7CEC"/>
    <w:rsid w:val="008F1711"/>
    <w:rsid w:val="008F2C17"/>
    <w:rsid w:val="008F4164"/>
    <w:rsid w:val="008F69D7"/>
    <w:rsid w:val="008F6A86"/>
    <w:rsid w:val="0090374B"/>
    <w:rsid w:val="00904EB3"/>
    <w:rsid w:val="00906F31"/>
    <w:rsid w:val="009071D4"/>
    <w:rsid w:val="009072D1"/>
    <w:rsid w:val="00907BCF"/>
    <w:rsid w:val="00911044"/>
    <w:rsid w:val="00911155"/>
    <w:rsid w:val="00911701"/>
    <w:rsid w:val="00914BE7"/>
    <w:rsid w:val="00914BFA"/>
    <w:rsid w:val="00924D14"/>
    <w:rsid w:val="009256D0"/>
    <w:rsid w:val="0093006A"/>
    <w:rsid w:val="00932933"/>
    <w:rsid w:val="009329CE"/>
    <w:rsid w:val="00933D6D"/>
    <w:rsid w:val="009371F4"/>
    <w:rsid w:val="0094053D"/>
    <w:rsid w:val="00940DDF"/>
    <w:rsid w:val="00944E00"/>
    <w:rsid w:val="00945C94"/>
    <w:rsid w:val="0095138E"/>
    <w:rsid w:val="00956F15"/>
    <w:rsid w:val="0096036C"/>
    <w:rsid w:val="009612BF"/>
    <w:rsid w:val="00967637"/>
    <w:rsid w:val="00973BCB"/>
    <w:rsid w:val="0097482B"/>
    <w:rsid w:val="00974AAE"/>
    <w:rsid w:val="00975782"/>
    <w:rsid w:val="00977917"/>
    <w:rsid w:val="00980CEF"/>
    <w:rsid w:val="009846DD"/>
    <w:rsid w:val="0098579E"/>
    <w:rsid w:val="009866DF"/>
    <w:rsid w:val="009875A2"/>
    <w:rsid w:val="00991DC3"/>
    <w:rsid w:val="0099342B"/>
    <w:rsid w:val="009A01FB"/>
    <w:rsid w:val="009A4283"/>
    <w:rsid w:val="009A6675"/>
    <w:rsid w:val="009A7808"/>
    <w:rsid w:val="009B0DDC"/>
    <w:rsid w:val="009B1F6A"/>
    <w:rsid w:val="009B2059"/>
    <w:rsid w:val="009B3422"/>
    <w:rsid w:val="009B4859"/>
    <w:rsid w:val="009C3B90"/>
    <w:rsid w:val="009C7731"/>
    <w:rsid w:val="009C7A2B"/>
    <w:rsid w:val="009D24A9"/>
    <w:rsid w:val="009D2DFB"/>
    <w:rsid w:val="009D51F9"/>
    <w:rsid w:val="009E0EEA"/>
    <w:rsid w:val="009E423C"/>
    <w:rsid w:val="009E5873"/>
    <w:rsid w:val="009E690F"/>
    <w:rsid w:val="009F25D8"/>
    <w:rsid w:val="009F2EFC"/>
    <w:rsid w:val="009F3D9E"/>
    <w:rsid w:val="009F4871"/>
    <w:rsid w:val="00A03989"/>
    <w:rsid w:val="00A03B1E"/>
    <w:rsid w:val="00A0619D"/>
    <w:rsid w:val="00A0657D"/>
    <w:rsid w:val="00A10EDF"/>
    <w:rsid w:val="00A11371"/>
    <w:rsid w:val="00A12FFC"/>
    <w:rsid w:val="00A13AD8"/>
    <w:rsid w:val="00A148A3"/>
    <w:rsid w:val="00A218A3"/>
    <w:rsid w:val="00A21C27"/>
    <w:rsid w:val="00A220E2"/>
    <w:rsid w:val="00A2270D"/>
    <w:rsid w:val="00A22B7E"/>
    <w:rsid w:val="00A24A1B"/>
    <w:rsid w:val="00A27FF0"/>
    <w:rsid w:val="00A30394"/>
    <w:rsid w:val="00A3378D"/>
    <w:rsid w:val="00A34360"/>
    <w:rsid w:val="00A34362"/>
    <w:rsid w:val="00A34615"/>
    <w:rsid w:val="00A35A8C"/>
    <w:rsid w:val="00A431D7"/>
    <w:rsid w:val="00A452ED"/>
    <w:rsid w:val="00A45401"/>
    <w:rsid w:val="00A45B8A"/>
    <w:rsid w:val="00A46118"/>
    <w:rsid w:val="00A47B92"/>
    <w:rsid w:val="00A51F65"/>
    <w:rsid w:val="00A52F55"/>
    <w:rsid w:val="00A545A5"/>
    <w:rsid w:val="00A54C3F"/>
    <w:rsid w:val="00A566D6"/>
    <w:rsid w:val="00A601D3"/>
    <w:rsid w:val="00A60632"/>
    <w:rsid w:val="00A6437A"/>
    <w:rsid w:val="00A65F94"/>
    <w:rsid w:val="00A6675C"/>
    <w:rsid w:val="00A6798F"/>
    <w:rsid w:val="00A714D8"/>
    <w:rsid w:val="00A717E6"/>
    <w:rsid w:val="00A725D3"/>
    <w:rsid w:val="00A72FA9"/>
    <w:rsid w:val="00A734A6"/>
    <w:rsid w:val="00A736B3"/>
    <w:rsid w:val="00A7482A"/>
    <w:rsid w:val="00A7685F"/>
    <w:rsid w:val="00A7729E"/>
    <w:rsid w:val="00A80191"/>
    <w:rsid w:val="00A80DD3"/>
    <w:rsid w:val="00A87891"/>
    <w:rsid w:val="00A904D8"/>
    <w:rsid w:val="00A92B09"/>
    <w:rsid w:val="00A92B6D"/>
    <w:rsid w:val="00A93043"/>
    <w:rsid w:val="00A9477A"/>
    <w:rsid w:val="00A94D40"/>
    <w:rsid w:val="00A95254"/>
    <w:rsid w:val="00A9629E"/>
    <w:rsid w:val="00A97262"/>
    <w:rsid w:val="00A977B0"/>
    <w:rsid w:val="00AA28E7"/>
    <w:rsid w:val="00AA3663"/>
    <w:rsid w:val="00AA3676"/>
    <w:rsid w:val="00AB1787"/>
    <w:rsid w:val="00AB6B7D"/>
    <w:rsid w:val="00AC0DFD"/>
    <w:rsid w:val="00AC1D67"/>
    <w:rsid w:val="00AC1EC6"/>
    <w:rsid w:val="00AC219C"/>
    <w:rsid w:val="00AC3438"/>
    <w:rsid w:val="00AC5F38"/>
    <w:rsid w:val="00AC7A45"/>
    <w:rsid w:val="00AD1C92"/>
    <w:rsid w:val="00AD3C0E"/>
    <w:rsid w:val="00AD4E72"/>
    <w:rsid w:val="00AD6618"/>
    <w:rsid w:val="00AD773A"/>
    <w:rsid w:val="00AE062C"/>
    <w:rsid w:val="00AE34C0"/>
    <w:rsid w:val="00AE45AA"/>
    <w:rsid w:val="00AE7E3A"/>
    <w:rsid w:val="00AF5854"/>
    <w:rsid w:val="00AF62E3"/>
    <w:rsid w:val="00AF6CF5"/>
    <w:rsid w:val="00AF74AB"/>
    <w:rsid w:val="00B05E8C"/>
    <w:rsid w:val="00B10B59"/>
    <w:rsid w:val="00B115E4"/>
    <w:rsid w:val="00B11F71"/>
    <w:rsid w:val="00B11FA9"/>
    <w:rsid w:val="00B121CE"/>
    <w:rsid w:val="00B1305F"/>
    <w:rsid w:val="00B13D5F"/>
    <w:rsid w:val="00B146DE"/>
    <w:rsid w:val="00B14F32"/>
    <w:rsid w:val="00B15034"/>
    <w:rsid w:val="00B17F04"/>
    <w:rsid w:val="00B26588"/>
    <w:rsid w:val="00B266FA"/>
    <w:rsid w:val="00B27F29"/>
    <w:rsid w:val="00B30F57"/>
    <w:rsid w:val="00B31B02"/>
    <w:rsid w:val="00B333C0"/>
    <w:rsid w:val="00B35C8E"/>
    <w:rsid w:val="00B36C58"/>
    <w:rsid w:val="00B3754A"/>
    <w:rsid w:val="00B40510"/>
    <w:rsid w:val="00B40706"/>
    <w:rsid w:val="00B41692"/>
    <w:rsid w:val="00B42367"/>
    <w:rsid w:val="00B43390"/>
    <w:rsid w:val="00B4391B"/>
    <w:rsid w:val="00B44106"/>
    <w:rsid w:val="00B46842"/>
    <w:rsid w:val="00B476C3"/>
    <w:rsid w:val="00B47A35"/>
    <w:rsid w:val="00B50DBB"/>
    <w:rsid w:val="00B53712"/>
    <w:rsid w:val="00B53A4F"/>
    <w:rsid w:val="00B54274"/>
    <w:rsid w:val="00B56CBE"/>
    <w:rsid w:val="00B57926"/>
    <w:rsid w:val="00B6161B"/>
    <w:rsid w:val="00B64E2B"/>
    <w:rsid w:val="00B702B9"/>
    <w:rsid w:val="00B71202"/>
    <w:rsid w:val="00B72D83"/>
    <w:rsid w:val="00B75CBB"/>
    <w:rsid w:val="00B8191C"/>
    <w:rsid w:val="00B84C25"/>
    <w:rsid w:val="00B84E0E"/>
    <w:rsid w:val="00B87FAB"/>
    <w:rsid w:val="00B91A4D"/>
    <w:rsid w:val="00B920E3"/>
    <w:rsid w:val="00B924C4"/>
    <w:rsid w:val="00B942A4"/>
    <w:rsid w:val="00B944E6"/>
    <w:rsid w:val="00B94CB9"/>
    <w:rsid w:val="00B94F9F"/>
    <w:rsid w:val="00B96036"/>
    <w:rsid w:val="00B9674B"/>
    <w:rsid w:val="00BA1ED4"/>
    <w:rsid w:val="00BB0302"/>
    <w:rsid w:val="00BB45EB"/>
    <w:rsid w:val="00BC0864"/>
    <w:rsid w:val="00BC274C"/>
    <w:rsid w:val="00BC33B0"/>
    <w:rsid w:val="00BC36DD"/>
    <w:rsid w:val="00BC7F08"/>
    <w:rsid w:val="00BD25CF"/>
    <w:rsid w:val="00BD4562"/>
    <w:rsid w:val="00BD567C"/>
    <w:rsid w:val="00BD66AA"/>
    <w:rsid w:val="00BD75F0"/>
    <w:rsid w:val="00BD7634"/>
    <w:rsid w:val="00BD7BF5"/>
    <w:rsid w:val="00BE1B47"/>
    <w:rsid w:val="00BE46AE"/>
    <w:rsid w:val="00BE5EE4"/>
    <w:rsid w:val="00BF51F3"/>
    <w:rsid w:val="00BF61F2"/>
    <w:rsid w:val="00BF7F19"/>
    <w:rsid w:val="00C0023E"/>
    <w:rsid w:val="00C01FBB"/>
    <w:rsid w:val="00C02604"/>
    <w:rsid w:val="00C02850"/>
    <w:rsid w:val="00C03013"/>
    <w:rsid w:val="00C0506A"/>
    <w:rsid w:val="00C05ADD"/>
    <w:rsid w:val="00C07360"/>
    <w:rsid w:val="00C104DC"/>
    <w:rsid w:val="00C10A0B"/>
    <w:rsid w:val="00C10A1D"/>
    <w:rsid w:val="00C11FFE"/>
    <w:rsid w:val="00C12581"/>
    <w:rsid w:val="00C23396"/>
    <w:rsid w:val="00C243E2"/>
    <w:rsid w:val="00C264CA"/>
    <w:rsid w:val="00C26690"/>
    <w:rsid w:val="00C3070B"/>
    <w:rsid w:val="00C30826"/>
    <w:rsid w:val="00C3444B"/>
    <w:rsid w:val="00C430F5"/>
    <w:rsid w:val="00C446E8"/>
    <w:rsid w:val="00C44C91"/>
    <w:rsid w:val="00C44F61"/>
    <w:rsid w:val="00C464DB"/>
    <w:rsid w:val="00C4676B"/>
    <w:rsid w:val="00C46C71"/>
    <w:rsid w:val="00C50D05"/>
    <w:rsid w:val="00C50FCC"/>
    <w:rsid w:val="00C527F1"/>
    <w:rsid w:val="00C52CF2"/>
    <w:rsid w:val="00C52EDC"/>
    <w:rsid w:val="00C556CB"/>
    <w:rsid w:val="00C5571D"/>
    <w:rsid w:val="00C559C2"/>
    <w:rsid w:val="00C56360"/>
    <w:rsid w:val="00C60116"/>
    <w:rsid w:val="00C602C3"/>
    <w:rsid w:val="00C610BF"/>
    <w:rsid w:val="00C61F5B"/>
    <w:rsid w:val="00C65CCF"/>
    <w:rsid w:val="00C66161"/>
    <w:rsid w:val="00C66244"/>
    <w:rsid w:val="00C67E60"/>
    <w:rsid w:val="00C70082"/>
    <w:rsid w:val="00C708C9"/>
    <w:rsid w:val="00C7093C"/>
    <w:rsid w:val="00C70DC4"/>
    <w:rsid w:val="00C71732"/>
    <w:rsid w:val="00C731A5"/>
    <w:rsid w:val="00C7325D"/>
    <w:rsid w:val="00C7343E"/>
    <w:rsid w:val="00C73CA9"/>
    <w:rsid w:val="00C74C01"/>
    <w:rsid w:val="00C77037"/>
    <w:rsid w:val="00C800F6"/>
    <w:rsid w:val="00C81E41"/>
    <w:rsid w:val="00C8242B"/>
    <w:rsid w:val="00C82746"/>
    <w:rsid w:val="00C83D41"/>
    <w:rsid w:val="00C842D8"/>
    <w:rsid w:val="00C85E7F"/>
    <w:rsid w:val="00C91432"/>
    <w:rsid w:val="00C94098"/>
    <w:rsid w:val="00C95A1E"/>
    <w:rsid w:val="00C9652D"/>
    <w:rsid w:val="00C97C90"/>
    <w:rsid w:val="00CA1934"/>
    <w:rsid w:val="00CA26B8"/>
    <w:rsid w:val="00CA3EDA"/>
    <w:rsid w:val="00CA4668"/>
    <w:rsid w:val="00CB08B7"/>
    <w:rsid w:val="00CB21CB"/>
    <w:rsid w:val="00CB2FE2"/>
    <w:rsid w:val="00CB3727"/>
    <w:rsid w:val="00CB4B9D"/>
    <w:rsid w:val="00CB6691"/>
    <w:rsid w:val="00CC0E98"/>
    <w:rsid w:val="00CC3970"/>
    <w:rsid w:val="00CC48E5"/>
    <w:rsid w:val="00CC5525"/>
    <w:rsid w:val="00CC6539"/>
    <w:rsid w:val="00CC67C6"/>
    <w:rsid w:val="00CC67CA"/>
    <w:rsid w:val="00CD0B66"/>
    <w:rsid w:val="00CD1C70"/>
    <w:rsid w:val="00CD359F"/>
    <w:rsid w:val="00CD489F"/>
    <w:rsid w:val="00CD71ED"/>
    <w:rsid w:val="00CE14D5"/>
    <w:rsid w:val="00CE16D7"/>
    <w:rsid w:val="00CE245D"/>
    <w:rsid w:val="00CF74E4"/>
    <w:rsid w:val="00CF7B8E"/>
    <w:rsid w:val="00D00200"/>
    <w:rsid w:val="00D00379"/>
    <w:rsid w:val="00D012CB"/>
    <w:rsid w:val="00D040CB"/>
    <w:rsid w:val="00D06FAB"/>
    <w:rsid w:val="00D07514"/>
    <w:rsid w:val="00D07E3E"/>
    <w:rsid w:val="00D10E52"/>
    <w:rsid w:val="00D1234D"/>
    <w:rsid w:val="00D1250E"/>
    <w:rsid w:val="00D12DF1"/>
    <w:rsid w:val="00D13566"/>
    <w:rsid w:val="00D14F82"/>
    <w:rsid w:val="00D150A7"/>
    <w:rsid w:val="00D221DC"/>
    <w:rsid w:val="00D23633"/>
    <w:rsid w:val="00D250F2"/>
    <w:rsid w:val="00D25D8C"/>
    <w:rsid w:val="00D27D04"/>
    <w:rsid w:val="00D31F86"/>
    <w:rsid w:val="00D32E76"/>
    <w:rsid w:val="00D3300E"/>
    <w:rsid w:val="00D34766"/>
    <w:rsid w:val="00D34B0B"/>
    <w:rsid w:val="00D35B96"/>
    <w:rsid w:val="00D35EBE"/>
    <w:rsid w:val="00D36C8A"/>
    <w:rsid w:val="00D37A3A"/>
    <w:rsid w:val="00D42A85"/>
    <w:rsid w:val="00D43AB8"/>
    <w:rsid w:val="00D445F3"/>
    <w:rsid w:val="00D45A33"/>
    <w:rsid w:val="00D464C9"/>
    <w:rsid w:val="00D53FB9"/>
    <w:rsid w:val="00D56D8F"/>
    <w:rsid w:val="00D56F7B"/>
    <w:rsid w:val="00D6002E"/>
    <w:rsid w:val="00D602CC"/>
    <w:rsid w:val="00D603EF"/>
    <w:rsid w:val="00D613FA"/>
    <w:rsid w:val="00D618D3"/>
    <w:rsid w:val="00D62AB6"/>
    <w:rsid w:val="00D65797"/>
    <w:rsid w:val="00D66092"/>
    <w:rsid w:val="00D762DB"/>
    <w:rsid w:val="00D81C8B"/>
    <w:rsid w:val="00D82A02"/>
    <w:rsid w:val="00D832A4"/>
    <w:rsid w:val="00D85888"/>
    <w:rsid w:val="00D8622A"/>
    <w:rsid w:val="00D92247"/>
    <w:rsid w:val="00D92573"/>
    <w:rsid w:val="00D948B9"/>
    <w:rsid w:val="00D963D9"/>
    <w:rsid w:val="00D96B20"/>
    <w:rsid w:val="00DA55C8"/>
    <w:rsid w:val="00DA6C1C"/>
    <w:rsid w:val="00DB1E1D"/>
    <w:rsid w:val="00DB204B"/>
    <w:rsid w:val="00DB3008"/>
    <w:rsid w:val="00DB474D"/>
    <w:rsid w:val="00DB7346"/>
    <w:rsid w:val="00DB7898"/>
    <w:rsid w:val="00DB7FB6"/>
    <w:rsid w:val="00DC2083"/>
    <w:rsid w:val="00DC2799"/>
    <w:rsid w:val="00DC34B6"/>
    <w:rsid w:val="00DC4163"/>
    <w:rsid w:val="00DC5C1C"/>
    <w:rsid w:val="00DC654D"/>
    <w:rsid w:val="00DD07AA"/>
    <w:rsid w:val="00DD0E44"/>
    <w:rsid w:val="00DD0E80"/>
    <w:rsid w:val="00DD1C9D"/>
    <w:rsid w:val="00DD1EFF"/>
    <w:rsid w:val="00DD210A"/>
    <w:rsid w:val="00DD71D8"/>
    <w:rsid w:val="00DE33C0"/>
    <w:rsid w:val="00DE7572"/>
    <w:rsid w:val="00DF0DF3"/>
    <w:rsid w:val="00DF0DFC"/>
    <w:rsid w:val="00DF32FE"/>
    <w:rsid w:val="00DF35D5"/>
    <w:rsid w:val="00DF4EF7"/>
    <w:rsid w:val="00DF52B3"/>
    <w:rsid w:val="00DF65EF"/>
    <w:rsid w:val="00E00444"/>
    <w:rsid w:val="00E04C58"/>
    <w:rsid w:val="00E064C7"/>
    <w:rsid w:val="00E069D1"/>
    <w:rsid w:val="00E06B15"/>
    <w:rsid w:val="00E07676"/>
    <w:rsid w:val="00E07B00"/>
    <w:rsid w:val="00E1170F"/>
    <w:rsid w:val="00E12492"/>
    <w:rsid w:val="00E14878"/>
    <w:rsid w:val="00E14BB9"/>
    <w:rsid w:val="00E16753"/>
    <w:rsid w:val="00E171AF"/>
    <w:rsid w:val="00E21BBC"/>
    <w:rsid w:val="00E23132"/>
    <w:rsid w:val="00E237C7"/>
    <w:rsid w:val="00E24FA1"/>
    <w:rsid w:val="00E26CCD"/>
    <w:rsid w:val="00E27163"/>
    <w:rsid w:val="00E31819"/>
    <w:rsid w:val="00E4193A"/>
    <w:rsid w:val="00E44296"/>
    <w:rsid w:val="00E44D5B"/>
    <w:rsid w:val="00E46224"/>
    <w:rsid w:val="00E50A6A"/>
    <w:rsid w:val="00E540E9"/>
    <w:rsid w:val="00E554E2"/>
    <w:rsid w:val="00E5556F"/>
    <w:rsid w:val="00E56366"/>
    <w:rsid w:val="00E56F5E"/>
    <w:rsid w:val="00E57D3B"/>
    <w:rsid w:val="00E600BE"/>
    <w:rsid w:val="00E61212"/>
    <w:rsid w:val="00E620CA"/>
    <w:rsid w:val="00E65731"/>
    <w:rsid w:val="00E71CB7"/>
    <w:rsid w:val="00E72F68"/>
    <w:rsid w:val="00E76F7B"/>
    <w:rsid w:val="00E80759"/>
    <w:rsid w:val="00E82178"/>
    <w:rsid w:val="00E82704"/>
    <w:rsid w:val="00E8641B"/>
    <w:rsid w:val="00E864A0"/>
    <w:rsid w:val="00E901DB"/>
    <w:rsid w:val="00E911CF"/>
    <w:rsid w:val="00E91A93"/>
    <w:rsid w:val="00E923FC"/>
    <w:rsid w:val="00E956F8"/>
    <w:rsid w:val="00E95A2B"/>
    <w:rsid w:val="00E97318"/>
    <w:rsid w:val="00EA3023"/>
    <w:rsid w:val="00EA3371"/>
    <w:rsid w:val="00EA3B40"/>
    <w:rsid w:val="00EA4894"/>
    <w:rsid w:val="00EA588D"/>
    <w:rsid w:val="00EA5A10"/>
    <w:rsid w:val="00EB1D74"/>
    <w:rsid w:val="00EB2040"/>
    <w:rsid w:val="00EB3089"/>
    <w:rsid w:val="00EB3828"/>
    <w:rsid w:val="00EC0FB1"/>
    <w:rsid w:val="00EC22DD"/>
    <w:rsid w:val="00EC354D"/>
    <w:rsid w:val="00EC364E"/>
    <w:rsid w:val="00EC5A44"/>
    <w:rsid w:val="00EC61C0"/>
    <w:rsid w:val="00EC654B"/>
    <w:rsid w:val="00EC79BA"/>
    <w:rsid w:val="00ED18F5"/>
    <w:rsid w:val="00ED2B0E"/>
    <w:rsid w:val="00ED32BC"/>
    <w:rsid w:val="00ED5016"/>
    <w:rsid w:val="00EE203A"/>
    <w:rsid w:val="00EE2058"/>
    <w:rsid w:val="00EE54DB"/>
    <w:rsid w:val="00EE7A8A"/>
    <w:rsid w:val="00EF208D"/>
    <w:rsid w:val="00EF24E2"/>
    <w:rsid w:val="00EF4B82"/>
    <w:rsid w:val="00EF4CAF"/>
    <w:rsid w:val="00EF6653"/>
    <w:rsid w:val="00F00521"/>
    <w:rsid w:val="00F00AF3"/>
    <w:rsid w:val="00F02337"/>
    <w:rsid w:val="00F03E56"/>
    <w:rsid w:val="00F04612"/>
    <w:rsid w:val="00F06113"/>
    <w:rsid w:val="00F06291"/>
    <w:rsid w:val="00F12A39"/>
    <w:rsid w:val="00F12BA2"/>
    <w:rsid w:val="00F13F5E"/>
    <w:rsid w:val="00F14676"/>
    <w:rsid w:val="00F14AD1"/>
    <w:rsid w:val="00F15F28"/>
    <w:rsid w:val="00F2071D"/>
    <w:rsid w:val="00F20B31"/>
    <w:rsid w:val="00F23102"/>
    <w:rsid w:val="00F23A03"/>
    <w:rsid w:val="00F23D22"/>
    <w:rsid w:val="00F273DA"/>
    <w:rsid w:val="00F27FB1"/>
    <w:rsid w:val="00F302FE"/>
    <w:rsid w:val="00F30732"/>
    <w:rsid w:val="00F31A06"/>
    <w:rsid w:val="00F3273E"/>
    <w:rsid w:val="00F33591"/>
    <w:rsid w:val="00F356DE"/>
    <w:rsid w:val="00F36CCA"/>
    <w:rsid w:val="00F36D91"/>
    <w:rsid w:val="00F370E0"/>
    <w:rsid w:val="00F372BC"/>
    <w:rsid w:val="00F37663"/>
    <w:rsid w:val="00F403A3"/>
    <w:rsid w:val="00F420C7"/>
    <w:rsid w:val="00F43ADA"/>
    <w:rsid w:val="00F43FA3"/>
    <w:rsid w:val="00F44BFE"/>
    <w:rsid w:val="00F45D41"/>
    <w:rsid w:val="00F47DC7"/>
    <w:rsid w:val="00F506D9"/>
    <w:rsid w:val="00F54E58"/>
    <w:rsid w:val="00F54E85"/>
    <w:rsid w:val="00F54F88"/>
    <w:rsid w:val="00F56F4A"/>
    <w:rsid w:val="00F609D4"/>
    <w:rsid w:val="00F6181B"/>
    <w:rsid w:val="00F63CC7"/>
    <w:rsid w:val="00F642E1"/>
    <w:rsid w:val="00F64512"/>
    <w:rsid w:val="00F64D98"/>
    <w:rsid w:val="00F652D0"/>
    <w:rsid w:val="00F65506"/>
    <w:rsid w:val="00F71C34"/>
    <w:rsid w:val="00F72C13"/>
    <w:rsid w:val="00F73E15"/>
    <w:rsid w:val="00F74EA2"/>
    <w:rsid w:val="00F754C9"/>
    <w:rsid w:val="00F75FF9"/>
    <w:rsid w:val="00F817A6"/>
    <w:rsid w:val="00F824B2"/>
    <w:rsid w:val="00F826A3"/>
    <w:rsid w:val="00F827B5"/>
    <w:rsid w:val="00F842CC"/>
    <w:rsid w:val="00F849E0"/>
    <w:rsid w:val="00F870B0"/>
    <w:rsid w:val="00F873A1"/>
    <w:rsid w:val="00F875F0"/>
    <w:rsid w:val="00F90380"/>
    <w:rsid w:val="00F91127"/>
    <w:rsid w:val="00F92606"/>
    <w:rsid w:val="00F95024"/>
    <w:rsid w:val="00F969F5"/>
    <w:rsid w:val="00F96C52"/>
    <w:rsid w:val="00FA064D"/>
    <w:rsid w:val="00FA091D"/>
    <w:rsid w:val="00FA0D15"/>
    <w:rsid w:val="00FA1875"/>
    <w:rsid w:val="00FA28A1"/>
    <w:rsid w:val="00FA3B77"/>
    <w:rsid w:val="00FA5681"/>
    <w:rsid w:val="00FA7738"/>
    <w:rsid w:val="00FB010D"/>
    <w:rsid w:val="00FB1040"/>
    <w:rsid w:val="00FB1189"/>
    <w:rsid w:val="00FB2300"/>
    <w:rsid w:val="00FB3B49"/>
    <w:rsid w:val="00FB4877"/>
    <w:rsid w:val="00FB6CE9"/>
    <w:rsid w:val="00FB6FA6"/>
    <w:rsid w:val="00FB708D"/>
    <w:rsid w:val="00FC03AA"/>
    <w:rsid w:val="00FC05D7"/>
    <w:rsid w:val="00FC70E2"/>
    <w:rsid w:val="00FC77C3"/>
    <w:rsid w:val="00FD0F6F"/>
    <w:rsid w:val="00FD18B1"/>
    <w:rsid w:val="00FD1D1D"/>
    <w:rsid w:val="00FD3475"/>
    <w:rsid w:val="00FD3CCD"/>
    <w:rsid w:val="00FD4D07"/>
    <w:rsid w:val="00FD5DA9"/>
    <w:rsid w:val="00FD7880"/>
    <w:rsid w:val="00FD79FB"/>
    <w:rsid w:val="00FE082E"/>
    <w:rsid w:val="00FE35C7"/>
    <w:rsid w:val="00FE4811"/>
    <w:rsid w:val="00FE50BD"/>
    <w:rsid w:val="00FE72AE"/>
    <w:rsid w:val="00FF01DB"/>
    <w:rsid w:val="00FF2DCB"/>
    <w:rsid w:val="00FF6CF7"/>
    <w:rsid w:val="00FF7063"/>
    <w:rsid w:val="00FF7B1B"/>
    <w:rsid w:val="036647D7"/>
    <w:rsid w:val="03EF588D"/>
    <w:rsid w:val="06E85707"/>
    <w:rsid w:val="0BE52D42"/>
    <w:rsid w:val="16715484"/>
    <w:rsid w:val="21743578"/>
    <w:rsid w:val="21C53E99"/>
    <w:rsid w:val="29473E95"/>
    <w:rsid w:val="31C523C4"/>
    <w:rsid w:val="37411717"/>
    <w:rsid w:val="37BE6AA0"/>
    <w:rsid w:val="47E06654"/>
    <w:rsid w:val="57D74BB1"/>
    <w:rsid w:val="597A02D4"/>
    <w:rsid w:val="5BEC4303"/>
    <w:rsid w:val="5D985816"/>
    <w:rsid w:val="5DDB026A"/>
    <w:rsid w:val="60321FCB"/>
    <w:rsid w:val="65706899"/>
    <w:rsid w:val="6D935E5D"/>
    <w:rsid w:val="6E676D69"/>
    <w:rsid w:val="7069361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400" w:lineRule="exact"/>
      <w:jc w:val="both"/>
    </w:pPr>
    <w:rPr>
      <w:rFonts w:ascii="Calibri" w:hAnsi="Calibri" w:eastAsia="宋体" w:cs="Calibri"/>
      <w:kern w:val="2"/>
      <w:sz w:val="21"/>
      <w:szCs w:val="21"/>
      <w:lang w:val="en-US" w:eastAsia="zh-CN" w:bidi="ar-SA"/>
    </w:rPr>
  </w:style>
  <w:style w:type="paragraph" w:styleId="3">
    <w:name w:val="heading 1"/>
    <w:basedOn w:val="1"/>
    <w:next w:val="1"/>
    <w:link w:val="43"/>
    <w:qFormat/>
    <w:uiPriority w:val="9"/>
    <w:pPr>
      <w:keepNext/>
      <w:keepLines/>
      <w:spacing w:before="340" w:after="330" w:line="578" w:lineRule="atLeast"/>
      <w:outlineLvl w:val="0"/>
    </w:pPr>
    <w:rPr>
      <w:b/>
      <w:bCs/>
      <w:kern w:val="44"/>
      <w:sz w:val="44"/>
      <w:szCs w:val="44"/>
    </w:rPr>
  </w:style>
  <w:style w:type="paragraph" w:styleId="4">
    <w:name w:val="heading 2"/>
    <w:basedOn w:val="1"/>
    <w:next w:val="1"/>
    <w:link w:val="44"/>
    <w:unhideWhenUsed/>
    <w:qFormat/>
    <w:uiPriority w:val="9"/>
    <w:pPr>
      <w:keepNext/>
      <w:keepLines/>
      <w:spacing w:before="260" w:after="260" w:line="416" w:lineRule="atLeast"/>
      <w:outlineLvl w:val="1"/>
    </w:pPr>
    <w:rPr>
      <w:rFonts w:asciiTheme="majorHAnsi" w:hAnsiTheme="majorHAnsi" w:eastAsiaTheme="majorEastAsia" w:cstheme="majorBidi"/>
      <w:b/>
      <w:bCs/>
      <w:sz w:val="32"/>
      <w:szCs w:val="32"/>
    </w:rPr>
  </w:style>
  <w:style w:type="paragraph" w:styleId="5">
    <w:name w:val="heading 3"/>
    <w:basedOn w:val="1"/>
    <w:next w:val="1"/>
    <w:link w:val="45"/>
    <w:unhideWhenUsed/>
    <w:qFormat/>
    <w:uiPriority w:val="9"/>
    <w:pPr>
      <w:keepNext/>
      <w:keepLines/>
      <w:spacing w:before="260" w:after="260" w:line="416" w:lineRule="atLeast"/>
      <w:outlineLvl w:val="2"/>
    </w:pPr>
    <w:rPr>
      <w:b/>
      <w:bCs/>
      <w:sz w:val="32"/>
      <w:szCs w:val="32"/>
    </w:rPr>
  </w:style>
  <w:style w:type="paragraph" w:styleId="6">
    <w:name w:val="heading 4"/>
    <w:basedOn w:val="1"/>
    <w:next w:val="1"/>
    <w:link w:val="46"/>
    <w:unhideWhenUsed/>
    <w:qFormat/>
    <w:uiPriority w:val="9"/>
    <w:pPr>
      <w:keepNext/>
      <w:keepLines/>
      <w:spacing w:before="280" w:after="290" w:line="376" w:lineRule="atLeast"/>
      <w:outlineLvl w:val="3"/>
    </w:pPr>
    <w:rPr>
      <w:rFonts w:asciiTheme="majorHAnsi" w:hAnsiTheme="majorHAnsi" w:eastAsiaTheme="majorEastAsia" w:cstheme="majorBidi"/>
      <w:b/>
      <w:bCs/>
      <w:sz w:val="28"/>
      <w:szCs w:val="28"/>
    </w:rPr>
  </w:style>
  <w:style w:type="paragraph" w:styleId="7">
    <w:name w:val="heading 5"/>
    <w:basedOn w:val="1"/>
    <w:next w:val="1"/>
    <w:link w:val="47"/>
    <w:unhideWhenUsed/>
    <w:qFormat/>
    <w:uiPriority w:val="9"/>
    <w:pPr>
      <w:keepNext/>
      <w:keepLines/>
      <w:spacing w:before="280" w:after="290" w:line="376" w:lineRule="atLeast"/>
      <w:outlineLvl w:val="4"/>
    </w:pPr>
    <w:rPr>
      <w:b/>
      <w:bCs/>
      <w:sz w:val="28"/>
      <w:szCs w:val="28"/>
    </w:rPr>
  </w:style>
  <w:style w:type="paragraph" w:styleId="8">
    <w:name w:val="heading 6"/>
    <w:basedOn w:val="1"/>
    <w:next w:val="1"/>
    <w:link w:val="48"/>
    <w:unhideWhenUsed/>
    <w:qFormat/>
    <w:uiPriority w:val="9"/>
    <w:pPr>
      <w:keepNext/>
      <w:keepLines/>
      <w:spacing w:before="240" w:after="64" w:line="320" w:lineRule="atLeast"/>
      <w:outlineLvl w:val="5"/>
    </w:pPr>
    <w:rPr>
      <w:rFonts w:asciiTheme="majorHAnsi" w:hAnsiTheme="majorHAnsi" w:eastAsiaTheme="majorEastAsia" w:cstheme="majorBidi"/>
      <w:b/>
      <w:bCs/>
      <w:sz w:val="24"/>
      <w:szCs w:val="24"/>
    </w:rPr>
  </w:style>
  <w:style w:type="paragraph" w:styleId="9">
    <w:name w:val="heading 7"/>
    <w:basedOn w:val="1"/>
    <w:next w:val="1"/>
    <w:link w:val="49"/>
    <w:unhideWhenUsed/>
    <w:qFormat/>
    <w:uiPriority w:val="9"/>
    <w:pPr>
      <w:keepNext/>
      <w:keepLines/>
      <w:spacing w:before="240" w:after="64" w:line="320" w:lineRule="atLeast"/>
      <w:outlineLvl w:val="6"/>
    </w:pPr>
    <w:rPr>
      <w:b/>
      <w:bCs/>
      <w:sz w:val="24"/>
      <w:szCs w:val="24"/>
    </w:rPr>
  </w:style>
  <w:style w:type="paragraph" w:styleId="10">
    <w:name w:val="heading 8"/>
    <w:basedOn w:val="1"/>
    <w:next w:val="1"/>
    <w:link w:val="50"/>
    <w:unhideWhenUsed/>
    <w:qFormat/>
    <w:uiPriority w:val="9"/>
    <w:pPr>
      <w:keepNext/>
      <w:keepLines/>
      <w:spacing w:before="240" w:after="64" w:line="320" w:lineRule="atLeast"/>
      <w:outlineLvl w:val="7"/>
    </w:pPr>
    <w:rPr>
      <w:rFonts w:asciiTheme="majorHAnsi" w:hAnsiTheme="majorHAnsi" w:eastAsiaTheme="majorEastAsia" w:cstheme="majorBidi"/>
      <w:sz w:val="24"/>
      <w:szCs w:val="24"/>
    </w:rPr>
  </w:style>
  <w:style w:type="paragraph" w:styleId="11">
    <w:name w:val="heading 9"/>
    <w:basedOn w:val="1"/>
    <w:next w:val="1"/>
    <w:link w:val="51"/>
    <w:unhideWhenUsed/>
    <w:qFormat/>
    <w:uiPriority w:val="9"/>
    <w:pPr>
      <w:keepNext/>
      <w:keepLines/>
      <w:spacing w:before="240" w:after="64" w:line="320" w:lineRule="atLeast"/>
      <w:outlineLvl w:val="8"/>
    </w:pPr>
    <w:rPr>
      <w:rFonts w:asciiTheme="majorHAnsi" w:hAnsiTheme="majorHAnsi" w:eastAsiaTheme="majorEastAsia" w:cstheme="majorBidi"/>
    </w:rPr>
  </w:style>
  <w:style w:type="character" w:default="1" w:styleId="33">
    <w:name w:val="Default Paragraph Font"/>
    <w:semiHidden/>
    <w:unhideWhenUsed/>
    <w:qFormat/>
    <w:uiPriority w:val="1"/>
  </w:style>
  <w:style w:type="table" w:default="1" w:styleId="3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unhideWhenUsed/>
    <w:qFormat/>
    <w:uiPriority w:val="99"/>
    <w:pPr>
      <w:spacing w:after="120" w:line="480" w:lineRule="auto"/>
      <w:ind w:left="420" w:leftChars="200"/>
    </w:pPr>
  </w:style>
  <w:style w:type="paragraph" w:styleId="12">
    <w:name w:val="annotation subject"/>
    <w:basedOn w:val="13"/>
    <w:next w:val="13"/>
    <w:link w:val="126"/>
    <w:unhideWhenUsed/>
    <w:qFormat/>
    <w:uiPriority w:val="99"/>
    <w:pPr>
      <w:adjustRightInd w:val="0"/>
      <w:spacing w:line="400" w:lineRule="exact"/>
    </w:pPr>
    <w:rPr>
      <w:rFonts w:ascii="Calibri" w:hAnsi="Calibri" w:eastAsia="宋体" w:cs="Calibri"/>
      <w:b/>
      <w:bCs/>
      <w:szCs w:val="21"/>
    </w:rPr>
  </w:style>
  <w:style w:type="paragraph" w:styleId="13">
    <w:name w:val="annotation text"/>
    <w:basedOn w:val="1"/>
    <w:link w:val="99"/>
    <w:unhideWhenUsed/>
    <w:qFormat/>
    <w:uiPriority w:val="0"/>
    <w:pPr>
      <w:adjustRightInd/>
      <w:spacing w:line="240" w:lineRule="auto"/>
      <w:jc w:val="left"/>
    </w:pPr>
    <w:rPr>
      <w:rFonts w:asciiTheme="minorHAnsi" w:hAnsiTheme="minorHAnsi" w:eastAsiaTheme="minorEastAsia" w:cstheme="minorBidi"/>
      <w:szCs w:val="24"/>
    </w:rPr>
  </w:style>
  <w:style w:type="paragraph" w:styleId="14">
    <w:name w:val="toc 7"/>
    <w:basedOn w:val="1"/>
    <w:next w:val="1"/>
    <w:unhideWhenUsed/>
    <w:qFormat/>
    <w:uiPriority w:val="39"/>
    <w:pPr>
      <w:ind w:left="1260"/>
      <w:jc w:val="left"/>
    </w:pPr>
    <w:rPr>
      <w:rFonts w:asciiTheme="minorHAnsi" w:eastAsiaTheme="minorHAnsi"/>
      <w:sz w:val="18"/>
      <w:szCs w:val="18"/>
    </w:rPr>
  </w:style>
  <w:style w:type="paragraph" w:styleId="15">
    <w:name w:val="Body Text Indent"/>
    <w:basedOn w:val="1"/>
    <w:link w:val="129"/>
    <w:semiHidden/>
    <w:unhideWhenUsed/>
    <w:qFormat/>
    <w:uiPriority w:val="99"/>
    <w:pPr>
      <w:spacing w:after="120"/>
      <w:ind w:left="420" w:leftChars="200"/>
    </w:pPr>
  </w:style>
  <w:style w:type="paragraph" w:styleId="16">
    <w:name w:val="toc 5"/>
    <w:basedOn w:val="1"/>
    <w:next w:val="1"/>
    <w:unhideWhenUsed/>
    <w:qFormat/>
    <w:uiPriority w:val="39"/>
    <w:pPr>
      <w:ind w:left="840"/>
      <w:jc w:val="left"/>
    </w:pPr>
    <w:rPr>
      <w:rFonts w:asciiTheme="minorHAnsi" w:eastAsiaTheme="minorHAnsi"/>
      <w:sz w:val="18"/>
      <w:szCs w:val="18"/>
    </w:rPr>
  </w:style>
  <w:style w:type="paragraph" w:styleId="17">
    <w:name w:val="toc 3"/>
    <w:basedOn w:val="1"/>
    <w:next w:val="1"/>
    <w:unhideWhenUsed/>
    <w:qFormat/>
    <w:uiPriority w:val="39"/>
    <w:pPr>
      <w:tabs>
        <w:tab w:val="right" w:leader="dot" w:pos="8296"/>
      </w:tabs>
      <w:adjustRightInd/>
      <w:spacing w:line="360" w:lineRule="auto"/>
      <w:ind w:firstLine="480" w:firstLineChars="200"/>
    </w:pPr>
    <w:rPr>
      <w:rFonts w:asciiTheme="minorHAnsi" w:eastAsiaTheme="minorHAnsi"/>
      <w:i/>
      <w:iCs/>
      <w:sz w:val="20"/>
      <w:szCs w:val="20"/>
    </w:rPr>
  </w:style>
  <w:style w:type="paragraph" w:styleId="18">
    <w:name w:val="toc 8"/>
    <w:basedOn w:val="1"/>
    <w:next w:val="1"/>
    <w:unhideWhenUsed/>
    <w:qFormat/>
    <w:uiPriority w:val="39"/>
    <w:pPr>
      <w:ind w:left="1470"/>
      <w:jc w:val="left"/>
    </w:pPr>
    <w:rPr>
      <w:rFonts w:asciiTheme="minorHAnsi" w:eastAsiaTheme="minorHAnsi"/>
      <w:sz w:val="18"/>
      <w:szCs w:val="18"/>
    </w:rPr>
  </w:style>
  <w:style w:type="paragraph" w:styleId="19">
    <w:name w:val="Date"/>
    <w:basedOn w:val="1"/>
    <w:next w:val="1"/>
    <w:link w:val="138"/>
    <w:semiHidden/>
    <w:unhideWhenUsed/>
    <w:qFormat/>
    <w:uiPriority w:val="99"/>
    <w:pPr>
      <w:ind w:left="100" w:leftChars="2500"/>
    </w:pPr>
  </w:style>
  <w:style w:type="paragraph" w:styleId="20">
    <w:name w:val="Balloon Text"/>
    <w:basedOn w:val="1"/>
    <w:link w:val="42"/>
    <w:unhideWhenUsed/>
    <w:qFormat/>
    <w:uiPriority w:val="99"/>
    <w:pPr>
      <w:spacing w:line="240" w:lineRule="auto"/>
    </w:pPr>
    <w:rPr>
      <w:sz w:val="18"/>
      <w:szCs w:val="18"/>
    </w:rPr>
  </w:style>
  <w:style w:type="paragraph" w:styleId="21">
    <w:name w:val="footer"/>
    <w:basedOn w:val="1"/>
    <w:link w:val="41"/>
    <w:unhideWhenUsed/>
    <w:qFormat/>
    <w:uiPriority w:val="99"/>
    <w:pPr>
      <w:tabs>
        <w:tab w:val="center" w:pos="4153"/>
        <w:tab w:val="right" w:pos="8306"/>
      </w:tabs>
      <w:snapToGrid w:val="0"/>
      <w:jc w:val="left"/>
    </w:pPr>
    <w:rPr>
      <w:sz w:val="18"/>
      <w:szCs w:val="18"/>
    </w:rPr>
  </w:style>
  <w:style w:type="paragraph" w:styleId="22">
    <w:name w:val="Body Text First Indent 2"/>
    <w:basedOn w:val="15"/>
    <w:link w:val="130"/>
    <w:unhideWhenUsed/>
    <w:qFormat/>
    <w:uiPriority w:val="99"/>
    <w:pPr>
      <w:adjustRightInd/>
      <w:spacing w:after="0" w:line="240" w:lineRule="auto"/>
      <w:ind w:left="0" w:leftChars="0" w:firstLine="420" w:firstLineChars="200"/>
    </w:pPr>
    <w:rPr>
      <w:rFonts w:ascii="Times New Roman" w:hAnsi="Times New Roman" w:eastAsia="仿宋_GB2312" w:cs="Times New Roman"/>
      <w:sz w:val="32"/>
      <w:szCs w:val="24"/>
    </w:rPr>
  </w:style>
  <w:style w:type="paragraph" w:styleId="23">
    <w:name w:val="header"/>
    <w:basedOn w:val="1"/>
    <w:link w:val="40"/>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24">
    <w:name w:val="toc 1"/>
    <w:basedOn w:val="1"/>
    <w:next w:val="1"/>
    <w:unhideWhenUsed/>
    <w:qFormat/>
    <w:uiPriority w:val="39"/>
    <w:pPr>
      <w:spacing w:before="120" w:after="120"/>
      <w:jc w:val="left"/>
    </w:pPr>
    <w:rPr>
      <w:rFonts w:asciiTheme="minorHAnsi" w:eastAsiaTheme="minorHAnsi"/>
      <w:b/>
      <w:bCs/>
      <w:caps/>
      <w:sz w:val="20"/>
      <w:szCs w:val="20"/>
    </w:rPr>
  </w:style>
  <w:style w:type="paragraph" w:styleId="25">
    <w:name w:val="toc 4"/>
    <w:basedOn w:val="1"/>
    <w:next w:val="1"/>
    <w:unhideWhenUsed/>
    <w:qFormat/>
    <w:uiPriority w:val="39"/>
    <w:pPr>
      <w:ind w:left="630"/>
      <w:jc w:val="left"/>
    </w:pPr>
    <w:rPr>
      <w:rFonts w:asciiTheme="minorHAnsi" w:eastAsiaTheme="minorHAnsi"/>
      <w:sz w:val="18"/>
      <w:szCs w:val="18"/>
    </w:rPr>
  </w:style>
  <w:style w:type="paragraph" w:styleId="26">
    <w:name w:val="Subtitle"/>
    <w:basedOn w:val="1"/>
    <w:next w:val="1"/>
    <w:link w:val="57"/>
    <w:qFormat/>
    <w:uiPriority w:val="11"/>
    <w:pPr>
      <w:spacing w:before="240" w:after="60" w:line="312" w:lineRule="atLeast"/>
      <w:jc w:val="center"/>
      <w:outlineLvl w:val="1"/>
    </w:pPr>
    <w:rPr>
      <w:rFonts w:asciiTheme="minorHAnsi" w:hAnsiTheme="minorHAnsi" w:eastAsiaTheme="minorEastAsia" w:cstheme="minorBidi"/>
      <w:b/>
      <w:bCs/>
      <w:kern w:val="28"/>
      <w:sz w:val="32"/>
      <w:szCs w:val="32"/>
    </w:rPr>
  </w:style>
  <w:style w:type="paragraph" w:styleId="27">
    <w:name w:val="toc 6"/>
    <w:basedOn w:val="1"/>
    <w:next w:val="1"/>
    <w:unhideWhenUsed/>
    <w:qFormat/>
    <w:uiPriority w:val="39"/>
    <w:pPr>
      <w:ind w:left="1050"/>
      <w:jc w:val="left"/>
    </w:pPr>
    <w:rPr>
      <w:rFonts w:asciiTheme="minorHAnsi" w:eastAsiaTheme="minorHAnsi"/>
      <w:sz w:val="18"/>
      <w:szCs w:val="18"/>
    </w:rPr>
  </w:style>
  <w:style w:type="paragraph" w:styleId="28">
    <w:name w:val="table of figures"/>
    <w:basedOn w:val="1"/>
    <w:next w:val="1"/>
    <w:link w:val="84"/>
    <w:unhideWhenUsed/>
    <w:qFormat/>
    <w:uiPriority w:val="99"/>
    <w:pPr>
      <w:ind w:left="200" w:leftChars="200" w:hanging="200" w:hangingChars="200"/>
    </w:pPr>
  </w:style>
  <w:style w:type="paragraph" w:styleId="29">
    <w:name w:val="toc 2"/>
    <w:basedOn w:val="1"/>
    <w:next w:val="1"/>
    <w:unhideWhenUsed/>
    <w:qFormat/>
    <w:uiPriority w:val="39"/>
    <w:pPr>
      <w:ind w:left="210"/>
      <w:jc w:val="left"/>
    </w:pPr>
    <w:rPr>
      <w:rFonts w:asciiTheme="minorHAnsi" w:eastAsiaTheme="minorHAnsi"/>
      <w:smallCaps/>
      <w:sz w:val="20"/>
      <w:szCs w:val="20"/>
    </w:rPr>
  </w:style>
  <w:style w:type="paragraph" w:styleId="30">
    <w:name w:val="toc 9"/>
    <w:basedOn w:val="1"/>
    <w:next w:val="1"/>
    <w:unhideWhenUsed/>
    <w:qFormat/>
    <w:uiPriority w:val="39"/>
    <w:pPr>
      <w:ind w:left="1680"/>
      <w:jc w:val="left"/>
    </w:pPr>
    <w:rPr>
      <w:rFonts w:asciiTheme="minorHAnsi" w:eastAsiaTheme="minorHAnsi"/>
      <w:sz w:val="18"/>
      <w:szCs w:val="18"/>
    </w:rPr>
  </w:style>
  <w:style w:type="paragraph" w:styleId="31">
    <w:name w:val="Normal (Web)"/>
    <w:basedOn w:val="1"/>
    <w:qFormat/>
    <w:uiPriority w:val="99"/>
    <w:pPr>
      <w:widowControl/>
      <w:adjustRightInd/>
      <w:spacing w:before="100" w:beforeAutospacing="1" w:after="100" w:afterAutospacing="1" w:line="360" w:lineRule="auto"/>
      <w:ind w:firstLine="480" w:firstLineChars="200"/>
      <w:jc w:val="left"/>
    </w:pPr>
    <w:rPr>
      <w:rFonts w:ascii="宋体" w:hAnsi="宋体" w:cs="Times New Roman"/>
      <w:kern w:val="0"/>
      <w:sz w:val="24"/>
      <w:szCs w:val="24"/>
    </w:rPr>
  </w:style>
  <w:style w:type="paragraph" w:styleId="32">
    <w:name w:val="Title"/>
    <w:basedOn w:val="1"/>
    <w:next w:val="1"/>
    <w:link w:val="52"/>
    <w:qFormat/>
    <w:uiPriority w:val="10"/>
    <w:pPr>
      <w:spacing w:before="240" w:after="60"/>
      <w:jc w:val="center"/>
      <w:outlineLvl w:val="0"/>
    </w:pPr>
    <w:rPr>
      <w:rFonts w:asciiTheme="majorHAnsi" w:hAnsiTheme="majorHAnsi" w:eastAsiaTheme="majorEastAsia" w:cstheme="majorBidi"/>
      <w:b/>
      <w:bCs/>
      <w:sz w:val="32"/>
      <w:szCs w:val="32"/>
    </w:rPr>
  </w:style>
  <w:style w:type="character" w:styleId="34">
    <w:name w:val="Strong"/>
    <w:qFormat/>
    <w:uiPriority w:val="0"/>
    <w:rPr>
      <w:b/>
      <w:bCs/>
    </w:rPr>
  </w:style>
  <w:style w:type="character" w:styleId="35">
    <w:name w:val="page number"/>
    <w:basedOn w:val="33"/>
    <w:qFormat/>
    <w:uiPriority w:val="0"/>
    <w:rPr>
      <w:rFonts w:ascii="宋体" w:hAnsi="Times New Roman" w:eastAsia="宋体" w:cs="宋体"/>
      <w:sz w:val="18"/>
      <w:szCs w:val="18"/>
    </w:rPr>
  </w:style>
  <w:style w:type="character" w:styleId="36">
    <w:name w:val="Hyperlink"/>
    <w:basedOn w:val="33"/>
    <w:unhideWhenUsed/>
    <w:qFormat/>
    <w:uiPriority w:val="99"/>
    <w:rPr>
      <w:color w:val="0563C1" w:themeColor="hyperlink"/>
      <w:u w:val="single"/>
      <w14:textFill>
        <w14:solidFill>
          <w14:schemeClr w14:val="hlink"/>
        </w14:solidFill>
      </w14:textFill>
    </w:rPr>
  </w:style>
  <w:style w:type="character" w:styleId="37">
    <w:name w:val="annotation reference"/>
    <w:unhideWhenUsed/>
    <w:qFormat/>
    <w:uiPriority w:val="0"/>
    <w:rPr>
      <w:sz w:val="21"/>
      <w:szCs w:val="21"/>
    </w:rPr>
  </w:style>
  <w:style w:type="table" w:styleId="39">
    <w:name w:val="Table Grid"/>
    <w:basedOn w:val="38"/>
    <w:qFormat/>
    <w:uiPriority w:val="99"/>
    <w:rPr>
      <w:rFonts w:ascii="Calibri" w:hAnsi="Calibri" w:eastAsia="宋体"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40">
    <w:name w:val="页眉 字符"/>
    <w:basedOn w:val="33"/>
    <w:link w:val="23"/>
    <w:qFormat/>
    <w:uiPriority w:val="99"/>
    <w:rPr>
      <w:rFonts w:ascii="Calibri" w:hAnsi="Calibri" w:eastAsia="宋体" w:cs="Calibri"/>
      <w:sz w:val="18"/>
      <w:szCs w:val="18"/>
    </w:rPr>
  </w:style>
  <w:style w:type="character" w:customStyle="1" w:styleId="41">
    <w:name w:val="页脚 字符"/>
    <w:basedOn w:val="33"/>
    <w:link w:val="21"/>
    <w:qFormat/>
    <w:uiPriority w:val="99"/>
    <w:rPr>
      <w:sz w:val="18"/>
      <w:szCs w:val="18"/>
    </w:rPr>
  </w:style>
  <w:style w:type="character" w:customStyle="1" w:styleId="42">
    <w:name w:val="批注框文本 字符"/>
    <w:basedOn w:val="33"/>
    <w:link w:val="20"/>
    <w:semiHidden/>
    <w:qFormat/>
    <w:uiPriority w:val="99"/>
    <w:rPr>
      <w:rFonts w:ascii="Calibri" w:hAnsi="Calibri" w:eastAsia="宋体" w:cs="Calibri"/>
      <w:sz w:val="18"/>
      <w:szCs w:val="18"/>
    </w:rPr>
  </w:style>
  <w:style w:type="character" w:customStyle="1" w:styleId="43">
    <w:name w:val="标题 1 字符"/>
    <w:basedOn w:val="33"/>
    <w:link w:val="3"/>
    <w:qFormat/>
    <w:uiPriority w:val="9"/>
    <w:rPr>
      <w:rFonts w:ascii="Calibri" w:hAnsi="Calibri" w:eastAsia="宋体" w:cs="Calibri"/>
      <w:b/>
      <w:bCs/>
      <w:kern w:val="44"/>
      <w:sz w:val="44"/>
      <w:szCs w:val="44"/>
    </w:rPr>
  </w:style>
  <w:style w:type="character" w:customStyle="1" w:styleId="44">
    <w:name w:val="标题 2 字符"/>
    <w:basedOn w:val="33"/>
    <w:link w:val="4"/>
    <w:qFormat/>
    <w:uiPriority w:val="9"/>
    <w:rPr>
      <w:rFonts w:asciiTheme="majorHAnsi" w:hAnsiTheme="majorHAnsi" w:eastAsiaTheme="majorEastAsia" w:cstheme="majorBidi"/>
      <w:b/>
      <w:bCs/>
      <w:sz w:val="32"/>
      <w:szCs w:val="32"/>
    </w:rPr>
  </w:style>
  <w:style w:type="character" w:customStyle="1" w:styleId="45">
    <w:name w:val="标题 3 字符"/>
    <w:basedOn w:val="33"/>
    <w:link w:val="5"/>
    <w:qFormat/>
    <w:uiPriority w:val="9"/>
    <w:rPr>
      <w:rFonts w:ascii="Calibri" w:hAnsi="Calibri" w:eastAsia="宋体" w:cs="Calibri"/>
      <w:b/>
      <w:bCs/>
      <w:sz w:val="32"/>
      <w:szCs w:val="32"/>
    </w:rPr>
  </w:style>
  <w:style w:type="character" w:customStyle="1" w:styleId="46">
    <w:name w:val="标题 4 字符"/>
    <w:basedOn w:val="33"/>
    <w:link w:val="6"/>
    <w:qFormat/>
    <w:uiPriority w:val="9"/>
    <w:rPr>
      <w:rFonts w:asciiTheme="majorHAnsi" w:hAnsiTheme="majorHAnsi" w:eastAsiaTheme="majorEastAsia" w:cstheme="majorBidi"/>
      <w:b/>
      <w:bCs/>
      <w:sz w:val="28"/>
      <w:szCs w:val="28"/>
    </w:rPr>
  </w:style>
  <w:style w:type="character" w:customStyle="1" w:styleId="47">
    <w:name w:val="标题 5 字符"/>
    <w:basedOn w:val="33"/>
    <w:link w:val="7"/>
    <w:qFormat/>
    <w:uiPriority w:val="9"/>
    <w:rPr>
      <w:rFonts w:ascii="Calibri" w:hAnsi="Calibri" w:eastAsia="宋体" w:cs="Calibri"/>
      <w:b/>
      <w:bCs/>
      <w:sz w:val="28"/>
      <w:szCs w:val="28"/>
    </w:rPr>
  </w:style>
  <w:style w:type="character" w:customStyle="1" w:styleId="48">
    <w:name w:val="标题 6 字符"/>
    <w:basedOn w:val="33"/>
    <w:link w:val="8"/>
    <w:qFormat/>
    <w:uiPriority w:val="9"/>
    <w:rPr>
      <w:rFonts w:asciiTheme="majorHAnsi" w:hAnsiTheme="majorHAnsi" w:eastAsiaTheme="majorEastAsia" w:cstheme="majorBidi"/>
      <w:b/>
      <w:bCs/>
      <w:sz w:val="24"/>
      <w:szCs w:val="24"/>
    </w:rPr>
  </w:style>
  <w:style w:type="character" w:customStyle="1" w:styleId="49">
    <w:name w:val="标题 7 字符"/>
    <w:basedOn w:val="33"/>
    <w:link w:val="9"/>
    <w:qFormat/>
    <w:uiPriority w:val="9"/>
    <w:rPr>
      <w:rFonts w:ascii="Calibri" w:hAnsi="Calibri" w:eastAsia="宋体" w:cs="Calibri"/>
      <w:b/>
      <w:bCs/>
      <w:sz w:val="24"/>
      <w:szCs w:val="24"/>
    </w:rPr>
  </w:style>
  <w:style w:type="character" w:customStyle="1" w:styleId="50">
    <w:name w:val="标题 8 字符"/>
    <w:basedOn w:val="33"/>
    <w:link w:val="10"/>
    <w:qFormat/>
    <w:uiPriority w:val="9"/>
    <w:rPr>
      <w:rFonts w:asciiTheme="majorHAnsi" w:hAnsiTheme="majorHAnsi" w:eastAsiaTheme="majorEastAsia" w:cstheme="majorBidi"/>
      <w:sz w:val="24"/>
      <w:szCs w:val="24"/>
    </w:rPr>
  </w:style>
  <w:style w:type="character" w:customStyle="1" w:styleId="51">
    <w:name w:val="标题 9 字符"/>
    <w:basedOn w:val="33"/>
    <w:link w:val="11"/>
    <w:qFormat/>
    <w:uiPriority w:val="9"/>
    <w:rPr>
      <w:rFonts w:asciiTheme="majorHAnsi" w:hAnsiTheme="majorHAnsi" w:eastAsiaTheme="majorEastAsia" w:cstheme="majorBidi"/>
      <w:szCs w:val="21"/>
    </w:rPr>
  </w:style>
  <w:style w:type="character" w:customStyle="1" w:styleId="52">
    <w:name w:val="标题 字符"/>
    <w:basedOn w:val="33"/>
    <w:link w:val="32"/>
    <w:qFormat/>
    <w:uiPriority w:val="10"/>
    <w:rPr>
      <w:rFonts w:asciiTheme="majorHAnsi" w:hAnsiTheme="majorHAnsi" w:eastAsiaTheme="majorEastAsia" w:cstheme="majorBidi"/>
      <w:b/>
      <w:bCs/>
      <w:sz w:val="32"/>
      <w:szCs w:val="32"/>
    </w:rPr>
  </w:style>
  <w:style w:type="paragraph" w:customStyle="1" w:styleId="53">
    <w:name w:val="章标题"/>
    <w:basedOn w:val="54"/>
    <w:next w:val="56"/>
    <w:link w:val="71"/>
    <w:qFormat/>
    <w:uiPriority w:val="0"/>
    <w:pPr>
      <w:spacing w:beforeLines="0" w:afterLines="0"/>
    </w:pPr>
    <w:rPr>
      <w:rFonts w:ascii="Times New Roman" w:cs="Times New Roman"/>
      <w:sz w:val="32"/>
    </w:rPr>
  </w:style>
  <w:style w:type="paragraph" w:customStyle="1" w:styleId="54">
    <w:name w:val="1章标题"/>
    <w:next w:val="55"/>
    <w:link w:val="70"/>
    <w:qFormat/>
    <w:uiPriority w:val="99"/>
    <w:pPr>
      <w:numPr>
        <w:ilvl w:val="1"/>
        <w:numId w:val="1"/>
      </w:numPr>
      <w:spacing w:beforeLines="50" w:afterLines="50"/>
      <w:jc w:val="both"/>
      <w:outlineLvl w:val="0"/>
    </w:pPr>
    <w:rPr>
      <w:rFonts w:ascii="黑体" w:hAnsi="Times New Roman" w:eastAsia="黑体" w:cs="黑体"/>
      <w:sz w:val="21"/>
      <w:szCs w:val="21"/>
      <w:lang w:val="en-US" w:eastAsia="zh-CN" w:bidi="ar-SA"/>
    </w:rPr>
  </w:style>
  <w:style w:type="paragraph" w:customStyle="1" w:styleId="55">
    <w:name w:val="标准文件_段"/>
    <w:qFormat/>
    <w:uiPriority w:val="99"/>
    <w:pPr>
      <w:widowControl w:val="0"/>
      <w:ind w:firstLine="198" w:firstLineChars="200"/>
      <w:jc w:val="both"/>
    </w:pPr>
    <w:rPr>
      <w:rFonts w:ascii="宋体" w:hAnsi="宋体" w:eastAsia="宋体" w:cs="宋体"/>
      <w:kern w:val="2"/>
      <w:sz w:val="21"/>
      <w:szCs w:val="21"/>
      <w:lang w:val="en-US" w:eastAsia="zh-CN" w:bidi="ar-SA"/>
    </w:rPr>
  </w:style>
  <w:style w:type="paragraph" w:customStyle="1" w:styleId="56">
    <w:name w:val="段"/>
    <w:basedOn w:val="1"/>
    <w:link w:val="61"/>
    <w:qFormat/>
    <w:uiPriority w:val="0"/>
    <w:pPr>
      <w:spacing w:line="240" w:lineRule="auto"/>
      <w:ind w:firstLine="200" w:firstLineChars="200"/>
    </w:pPr>
    <w:rPr>
      <w:rFonts w:ascii="Times New Roman" w:hAnsi="Times New Roman" w:eastAsia="仿宋_GB2312"/>
      <w:sz w:val="32"/>
    </w:rPr>
  </w:style>
  <w:style w:type="character" w:customStyle="1" w:styleId="57">
    <w:name w:val="副标题 字符"/>
    <w:basedOn w:val="33"/>
    <w:link w:val="26"/>
    <w:qFormat/>
    <w:uiPriority w:val="11"/>
    <w:rPr>
      <w:b/>
      <w:bCs/>
      <w:kern w:val="28"/>
      <w:sz w:val="32"/>
      <w:szCs w:val="32"/>
    </w:rPr>
  </w:style>
  <w:style w:type="character" w:customStyle="1" w:styleId="58">
    <w:name w:val="不明显强调1"/>
    <w:basedOn w:val="33"/>
    <w:qFormat/>
    <w:uiPriority w:val="19"/>
    <w:rPr>
      <w:i/>
      <w:iCs/>
      <w:color w:val="404040" w:themeColor="text1" w:themeTint="BF"/>
      <w14:textFill>
        <w14:solidFill>
          <w14:schemeClr w14:val="tx1">
            <w14:lumMod w14:val="75000"/>
            <w14:lumOff w14:val="25000"/>
          </w14:schemeClr>
        </w14:solidFill>
      </w14:textFill>
    </w:rPr>
  </w:style>
  <w:style w:type="paragraph" w:customStyle="1" w:styleId="59">
    <w:name w:val="目次、前言、引言"/>
    <w:basedOn w:val="32"/>
    <w:next w:val="56"/>
    <w:link w:val="60"/>
    <w:qFormat/>
    <w:uiPriority w:val="0"/>
    <w:pPr>
      <w:spacing w:before="851" w:after="680" w:line="240" w:lineRule="auto"/>
    </w:pPr>
    <w:rPr>
      <w:rFonts w:eastAsia="黑体"/>
      <w:b w:val="0"/>
    </w:rPr>
  </w:style>
  <w:style w:type="character" w:customStyle="1" w:styleId="60">
    <w:name w:val="目次、前言、引言 字符"/>
    <w:basedOn w:val="52"/>
    <w:link w:val="59"/>
    <w:qFormat/>
    <w:uiPriority w:val="0"/>
    <w:rPr>
      <w:rFonts w:eastAsia="黑体" w:asciiTheme="majorHAnsi" w:hAnsiTheme="majorHAnsi" w:cstheme="majorBidi"/>
      <w:b w:val="0"/>
      <w:sz w:val="32"/>
      <w:szCs w:val="32"/>
    </w:rPr>
  </w:style>
  <w:style w:type="character" w:customStyle="1" w:styleId="61">
    <w:name w:val="段 字符"/>
    <w:basedOn w:val="33"/>
    <w:link w:val="56"/>
    <w:qFormat/>
    <w:uiPriority w:val="0"/>
    <w:rPr>
      <w:rFonts w:ascii="Times New Roman" w:hAnsi="Times New Roman" w:eastAsia="仿宋_GB2312" w:cs="Calibri"/>
      <w:kern w:val="2"/>
      <w:sz w:val="32"/>
      <w:szCs w:val="21"/>
    </w:rPr>
  </w:style>
  <w:style w:type="paragraph" w:customStyle="1" w:styleId="62">
    <w:name w:val="标准文件_二级条标题"/>
    <w:next w:val="55"/>
    <w:link w:val="80"/>
    <w:qFormat/>
    <w:uiPriority w:val="99"/>
    <w:pPr>
      <w:widowControl w:val="0"/>
      <w:numPr>
        <w:ilvl w:val="3"/>
        <w:numId w:val="1"/>
      </w:numPr>
      <w:jc w:val="both"/>
      <w:outlineLvl w:val="2"/>
    </w:pPr>
    <w:rPr>
      <w:rFonts w:ascii="黑体" w:hAnsi="Times New Roman" w:eastAsia="黑体" w:cs="黑体"/>
      <w:sz w:val="21"/>
      <w:szCs w:val="21"/>
      <w:lang w:val="en-US" w:eastAsia="zh-CN" w:bidi="ar-SA"/>
    </w:rPr>
  </w:style>
  <w:style w:type="paragraph" w:customStyle="1" w:styleId="63">
    <w:name w:val="标准文件_三级条标题"/>
    <w:basedOn w:val="62"/>
    <w:next w:val="55"/>
    <w:link w:val="92"/>
    <w:qFormat/>
    <w:uiPriority w:val="99"/>
    <w:pPr>
      <w:widowControl/>
      <w:numPr>
        <w:ilvl w:val="4"/>
      </w:numPr>
      <w:outlineLvl w:val="3"/>
    </w:pPr>
  </w:style>
  <w:style w:type="paragraph" w:customStyle="1" w:styleId="64">
    <w:name w:val="标准文件_四级条标题"/>
    <w:next w:val="55"/>
    <w:qFormat/>
    <w:uiPriority w:val="99"/>
    <w:pPr>
      <w:widowControl w:val="0"/>
      <w:numPr>
        <w:ilvl w:val="5"/>
        <w:numId w:val="1"/>
      </w:numPr>
      <w:jc w:val="both"/>
      <w:outlineLvl w:val="4"/>
    </w:pPr>
    <w:rPr>
      <w:rFonts w:ascii="黑体" w:hAnsi="Times New Roman" w:eastAsia="黑体" w:cs="黑体"/>
      <w:sz w:val="21"/>
      <w:szCs w:val="21"/>
      <w:lang w:val="en-US" w:eastAsia="zh-CN" w:bidi="ar-SA"/>
    </w:rPr>
  </w:style>
  <w:style w:type="paragraph" w:customStyle="1" w:styleId="65">
    <w:name w:val="标准文件_五级条标题"/>
    <w:next w:val="55"/>
    <w:qFormat/>
    <w:uiPriority w:val="99"/>
    <w:pPr>
      <w:widowControl w:val="0"/>
      <w:numPr>
        <w:ilvl w:val="6"/>
        <w:numId w:val="1"/>
      </w:numPr>
      <w:jc w:val="both"/>
      <w:outlineLvl w:val="5"/>
    </w:pPr>
    <w:rPr>
      <w:rFonts w:ascii="黑体" w:hAnsi="Times New Roman" w:eastAsia="黑体" w:cs="黑体"/>
      <w:sz w:val="21"/>
      <w:szCs w:val="21"/>
      <w:lang w:val="en-US" w:eastAsia="zh-CN" w:bidi="ar-SA"/>
    </w:rPr>
  </w:style>
  <w:style w:type="paragraph" w:customStyle="1" w:styleId="66">
    <w:name w:val="标准文件_一级条标题"/>
    <w:basedOn w:val="54"/>
    <w:next w:val="55"/>
    <w:link w:val="72"/>
    <w:qFormat/>
    <w:uiPriority w:val="99"/>
    <w:pPr>
      <w:numPr>
        <w:ilvl w:val="2"/>
      </w:numPr>
      <w:spacing w:beforeLines="0" w:afterLines="0"/>
      <w:outlineLvl w:val="1"/>
    </w:pPr>
  </w:style>
  <w:style w:type="paragraph" w:customStyle="1" w:styleId="67">
    <w:name w:val="前言标题"/>
    <w:next w:val="1"/>
    <w:qFormat/>
    <w:uiPriority w:val="99"/>
    <w:pPr>
      <w:numPr>
        <w:ilvl w:val="0"/>
        <w:numId w:val="1"/>
      </w:numPr>
      <w:shd w:val="clear" w:color="FFFFFF" w:fill="FFFFFF"/>
      <w:spacing w:before="540"/>
      <w:jc w:val="center"/>
      <w:outlineLvl w:val="0"/>
    </w:pPr>
    <w:rPr>
      <w:rFonts w:ascii="黑体" w:hAnsi="Times New Roman" w:eastAsia="黑体" w:cs="黑体"/>
      <w:sz w:val="32"/>
      <w:szCs w:val="32"/>
      <w:lang w:val="en-US" w:eastAsia="zh-CN" w:bidi="ar-SA"/>
    </w:rPr>
  </w:style>
  <w:style w:type="paragraph" w:customStyle="1" w:styleId="68">
    <w:name w:val="列出段落1"/>
    <w:basedOn w:val="1"/>
    <w:link w:val="86"/>
    <w:qFormat/>
    <w:uiPriority w:val="99"/>
    <w:pPr>
      <w:adjustRightInd/>
      <w:spacing w:line="240" w:lineRule="auto"/>
      <w:ind w:firstLine="420" w:firstLineChars="200"/>
    </w:pPr>
  </w:style>
  <w:style w:type="paragraph" w:customStyle="1" w:styleId="69">
    <w:name w:val="一级条标题"/>
    <w:basedOn w:val="66"/>
    <w:next w:val="56"/>
    <w:link w:val="73"/>
    <w:qFormat/>
    <w:uiPriority w:val="0"/>
    <w:rPr>
      <w:rFonts w:ascii="Times New Roman" w:cs="Times New Roman"/>
      <w:sz w:val="32"/>
    </w:rPr>
  </w:style>
  <w:style w:type="character" w:customStyle="1" w:styleId="70">
    <w:name w:val="1章标题 字符"/>
    <w:basedOn w:val="33"/>
    <w:link w:val="54"/>
    <w:qFormat/>
    <w:uiPriority w:val="99"/>
    <w:rPr>
      <w:rFonts w:ascii="黑体" w:hAnsi="Times New Roman" w:eastAsia="黑体" w:cs="黑体"/>
      <w:kern w:val="0"/>
      <w:szCs w:val="21"/>
    </w:rPr>
  </w:style>
  <w:style w:type="character" w:customStyle="1" w:styleId="71">
    <w:name w:val="章标题 字符"/>
    <w:basedOn w:val="70"/>
    <w:link w:val="53"/>
    <w:qFormat/>
    <w:uiPriority w:val="0"/>
    <w:rPr>
      <w:rFonts w:ascii="Times New Roman" w:hAnsi="Times New Roman" w:eastAsia="黑体" w:cs="Times New Roman"/>
      <w:kern w:val="0"/>
      <w:sz w:val="32"/>
      <w:szCs w:val="21"/>
    </w:rPr>
  </w:style>
  <w:style w:type="character" w:customStyle="1" w:styleId="72">
    <w:name w:val="标准文件_一级条标题 字符"/>
    <w:basedOn w:val="70"/>
    <w:link w:val="66"/>
    <w:qFormat/>
    <w:uiPriority w:val="99"/>
    <w:rPr>
      <w:rFonts w:ascii="黑体" w:hAnsi="Times New Roman" w:eastAsia="黑体" w:cs="黑体"/>
      <w:kern w:val="0"/>
      <w:szCs w:val="21"/>
    </w:rPr>
  </w:style>
  <w:style w:type="character" w:customStyle="1" w:styleId="73">
    <w:name w:val="一级条标题 字符"/>
    <w:basedOn w:val="72"/>
    <w:link w:val="69"/>
    <w:qFormat/>
    <w:uiPriority w:val="0"/>
    <w:rPr>
      <w:rFonts w:ascii="Times New Roman" w:hAnsi="Times New Roman" w:eastAsia="黑体" w:cs="Times New Roman"/>
      <w:kern w:val="0"/>
      <w:sz w:val="32"/>
      <w:szCs w:val="21"/>
    </w:rPr>
  </w:style>
  <w:style w:type="paragraph" w:customStyle="1" w:styleId="74">
    <w:name w:val="术语"/>
    <w:basedOn w:val="56"/>
    <w:next w:val="56"/>
    <w:link w:val="76"/>
    <w:qFormat/>
    <w:uiPriority w:val="0"/>
    <w:rPr>
      <w:rFonts w:eastAsia="黑体"/>
    </w:rPr>
  </w:style>
  <w:style w:type="character" w:customStyle="1" w:styleId="75">
    <w:name w:val="段 Char"/>
    <w:qFormat/>
    <w:uiPriority w:val="0"/>
    <w:rPr>
      <w:rFonts w:ascii="宋体"/>
      <w:sz w:val="21"/>
      <w:lang w:val="en-US" w:eastAsia="zh-CN" w:bidi="ar-SA"/>
    </w:rPr>
  </w:style>
  <w:style w:type="character" w:customStyle="1" w:styleId="76">
    <w:name w:val="术语 字符"/>
    <w:basedOn w:val="61"/>
    <w:link w:val="74"/>
    <w:qFormat/>
    <w:uiPriority w:val="0"/>
    <w:rPr>
      <w:rFonts w:ascii="Times New Roman" w:hAnsi="Times New Roman" w:eastAsia="黑体" w:cs="Calibri"/>
      <w:kern w:val="2"/>
      <w:sz w:val="32"/>
      <w:szCs w:val="21"/>
    </w:rPr>
  </w:style>
  <w:style w:type="paragraph" w:customStyle="1" w:styleId="77">
    <w:name w:val="注"/>
    <w:basedOn w:val="56"/>
    <w:next w:val="56"/>
    <w:link w:val="79"/>
    <w:qFormat/>
    <w:uiPriority w:val="0"/>
    <w:pPr>
      <w:widowControl/>
      <w:tabs>
        <w:tab w:val="center" w:pos="4201"/>
        <w:tab w:val="right" w:leader="dot" w:pos="9298"/>
      </w:tabs>
      <w:autoSpaceDE w:val="0"/>
      <w:autoSpaceDN w:val="0"/>
      <w:adjustRightInd/>
      <w:ind w:firstLine="360"/>
    </w:pPr>
    <w:rPr>
      <w:rFonts w:eastAsia="黑体" w:cs="Times New Roman"/>
      <w:kern w:val="0"/>
      <w:sz w:val="18"/>
      <w:szCs w:val="18"/>
    </w:rPr>
  </w:style>
  <w:style w:type="paragraph" w:customStyle="1" w:styleId="78">
    <w:name w:val="二级条标题"/>
    <w:basedOn w:val="62"/>
    <w:next w:val="56"/>
    <w:link w:val="81"/>
    <w:qFormat/>
    <w:uiPriority w:val="0"/>
    <w:rPr>
      <w:rFonts w:ascii="Times New Roman"/>
      <w:sz w:val="32"/>
    </w:rPr>
  </w:style>
  <w:style w:type="character" w:customStyle="1" w:styleId="79">
    <w:name w:val="注 字符"/>
    <w:basedOn w:val="61"/>
    <w:link w:val="77"/>
    <w:qFormat/>
    <w:uiPriority w:val="0"/>
    <w:rPr>
      <w:rFonts w:ascii="Times New Roman" w:hAnsi="Times New Roman" w:eastAsia="黑体" w:cs="Times New Roman"/>
      <w:kern w:val="0"/>
      <w:sz w:val="18"/>
      <w:szCs w:val="18"/>
    </w:rPr>
  </w:style>
  <w:style w:type="character" w:customStyle="1" w:styleId="80">
    <w:name w:val="标准文件_二级条标题 字符"/>
    <w:basedOn w:val="33"/>
    <w:link w:val="62"/>
    <w:qFormat/>
    <w:uiPriority w:val="99"/>
    <w:rPr>
      <w:rFonts w:ascii="黑体" w:hAnsi="Times New Roman" w:eastAsia="黑体" w:cs="黑体"/>
      <w:kern w:val="0"/>
      <w:szCs w:val="21"/>
    </w:rPr>
  </w:style>
  <w:style w:type="character" w:customStyle="1" w:styleId="81">
    <w:name w:val="二级条标题 字符"/>
    <w:basedOn w:val="80"/>
    <w:link w:val="78"/>
    <w:qFormat/>
    <w:uiPriority w:val="0"/>
    <w:rPr>
      <w:rFonts w:ascii="Times New Roman" w:hAnsi="Times New Roman" w:eastAsia="黑体" w:cs="黑体"/>
      <w:kern w:val="0"/>
      <w:sz w:val="32"/>
      <w:szCs w:val="21"/>
    </w:rPr>
  </w:style>
  <w:style w:type="paragraph" w:customStyle="1" w:styleId="82">
    <w:name w:val="正文图题"/>
    <w:basedOn w:val="28"/>
    <w:next w:val="56"/>
    <w:link w:val="85"/>
    <w:qFormat/>
    <w:uiPriority w:val="0"/>
    <w:pPr>
      <w:numPr>
        <w:ilvl w:val="0"/>
        <w:numId w:val="2"/>
      </w:numPr>
      <w:spacing w:before="163" w:beforeLines="50" w:after="163" w:afterLines="50" w:line="240" w:lineRule="auto"/>
      <w:ind w:left="0" w:leftChars="0" w:firstLine="0" w:firstLineChars="0"/>
      <w:jc w:val="center"/>
    </w:pPr>
    <w:rPr>
      <w:rFonts w:ascii="Times New Roman" w:hAnsi="Times New Roman" w:eastAsia="黑体" w:cs="Times New Roman"/>
      <w:sz w:val="32"/>
      <w:shd w:val="clear" w:color="auto" w:fill="FFFFFF"/>
    </w:rPr>
  </w:style>
  <w:style w:type="paragraph" w:customStyle="1" w:styleId="83">
    <w:name w:val="字母列项"/>
    <w:basedOn w:val="68"/>
    <w:next w:val="56"/>
    <w:link w:val="87"/>
    <w:qFormat/>
    <w:uiPriority w:val="0"/>
    <w:pPr>
      <w:numPr>
        <w:ilvl w:val="0"/>
        <w:numId w:val="3"/>
      </w:numPr>
      <w:ind w:left="777" w:hanging="357" w:firstLineChars="0"/>
      <w:jc w:val="left"/>
    </w:pPr>
    <w:rPr>
      <w:rFonts w:ascii="Times New Roman" w:hAnsi="Times New Roman" w:cs="宋体"/>
      <w:kern w:val="0"/>
    </w:rPr>
  </w:style>
  <w:style w:type="character" w:customStyle="1" w:styleId="84">
    <w:name w:val="图表目录 字符"/>
    <w:basedOn w:val="33"/>
    <w:link w:val="28"/>
    <w:semiHidden/>
    <w:qFormat/>
    <w:uiPriority w:val="99"/>
    <w:rPr>
      <w:rFonts w:ascii="Calibri" w:hAnsi="Calibri" w:eastAsia="宋体" w:cs="Calibri"/>
      <w:szCs w:val="21"/>
    </w:rPr>
  </w:style>
  <w:style w:type="character" w:customStyle="1" w:styleId="85">
    <w:name w:val="正文图题 字符"/>
    <w:basedOn w:val="84"/>
    <w:link w:val="82"/>
    <w:qFormat/>
    <w:uiPriority w:val="0"/>
    <w:rPr>
      <w:rFonts w:ascii="Times New Roman" w:hAnsi="Times New Roman" w:eastAsia="黑体" w:cs="Times New Roman"/>
      <w:kern w:val="2"/>
      <w:sz w:val="32"/>
      <w:szCs w:val="21"/>
    </w:rPr>
  </w:style>
  <w:style w:type="character" w:customStyle="1" w:styleId="86">
    <w:name w:val="列出段落 Char"/>
    <w:basedOn w:val="33"/>
    <w:link w:val="68"/>
    <w:qFormat/>
    <w:uiPriority w:val="99"/>
    <w:rPr>
      <w:rFonts w:ascii="Calibri" w:hAnsi="Calibri" w:eastAsia="宋体" w:cs="Calibri"/>
      <w:szCs w:val="21"/>
    </w:rPr>
  </w:style>
  <w:style w:type="character" w:customStyle="1" w:styleId="87">
    <w:name w:val="字母列项 字符"/>
    <w:basedOn w:val="86"/>
    <w:link w:val="83"/>
    <w:qFormat/>
    <w:uiPriority w:val="0"/>
    <w:rPr>
      <w:rFonts w:ascii="Times New Roman" w:hAnsi="Times New Roman" w:eastAsia="宋体" w:cs="宋体"/>
      <w:kern w:val="0"/>
      <w:szCs w:val="21"/>
    </w:rPr>
  </w:style>
  <w:style w:type="paragraph" w:customStyle="1" w:styleId="88">
    <w:name w:val="正文表标题"/>
    <w:basedOn w:val="82"/>
    <w:next w:val="56"/>
    <w:link w:val="90"/>
    <w:qFormat/>
    <w:uiPriority w:val="0"/>
    <w:pPr>
      <w:numPr>
        <w:numId w:val="4"/>
      </w:numPr>
      <w:ind w:left="0" w:firstLine="0"/>
    </w:pPr>
  </w:style>
  <w:style w:type="paragraph" w:customStyle="1" w:styleId="89">
    <w:name w:val="三级条标题"/>
    <w:basedOn w:val="63"/>
    <w:next w:val="56"/>
    <w:link w:val="93"/>
    <w:qFormat/>
    <w:uiPriority w:val="0"/>
    <w:pPr>
      <w:spacing w:beforeLines="50" w:afterLines="50"/>
    </w:pPr>
    <w:rPr>
      <w:rFonts w:ascii="Times New Roman"/>
    </w:rPr>
  </w:style>
  <w:style w:type="character" w:customStyle="1" w:styleId="90">
    <w:name w:val="正文表标题 字符"/>
    <w:basedOn w:val="85"/>
    <w:link w:val="88"/>
    <w:qFormat/>
    <w:uiPriority w:val="0"/>
    <w:rPr>
      <w:rFonts w:ascii="Times New Roman" w:hAnsi="Times New Roman" w:eastAsia="黑体" w:cs="Times New Roman"/>
      <w:kern w:val="2"/>
      <w:sz w:val="32"/>
      <w:szCs w:val="21"/>
    </w:rPr>
  </w:style>
  <w:style w:type="paragraph" w:customStyle="1" w:styleId="91">
    <w:name w:val="列项（——）"/>
    <w:basedOn w:val="1"/>
    <w:link w:val="95"/>
    <w:qFormat/>
    <w:uiPriority w:val="0"/>
    <w:pPr>
      <w:widowControl/>
      <w:tabs>
        <w:tab w:val="center" w:pos="4201"/>
        <w:tab w:val="right" w:leader="dot" w:pos="9298"/>
      </w:tabs>
      <w:autoSpaceDE w:val="0"/>
      <w:autoSpaceDN w:val="0"/>
      <w:adjustRightInd/>
      <w:spacing w:line="240" w:lineRule="auto"/>
      <w:ind w:left="400" w:leftChars="200" w:hanging="200" w:hangingChars="200"/>
    </w:pPr>
    <w:rPr>
      <w:rFonts w:ascii="Times New Roman" w:hAnsi="Times New Roman" w:cs="黑体"/>
      <w:kern w:val="0"/>
    </w:rPr>
  </w:style>
  <w:style w:type="character" w:customStyle="1" w:styleId="92">
    <w:name w:val="标准文件_三级条标题 字符"/>
    <w:basedOn w:val="80"/>
    <w:link w:val="63"/>
    <w:qFormat/>
    <w:uiPriority w:val="99"/>
    <w:rPr>
      <w:rFonts w:ascii="黑体" w:hAnsi="Times New Roman" w:eastAsia="黑体" w:cs="黑体"/>
      <w:kern w:val="0"/>
      <w:szCs w:val="21"/>
    </w:rPr>
  </w:style>
  <w:style w:type="character" w:customStyle="1" w:styleId="93">
    <w:name w:val="三级条标题 字符"/>
    <w:basedOn w:val="92"/>
    <w:link w:val="89"/>
    <w:qFormat/>
    <w:uiPriority w:val="0"/>
    <w:rPr>
      <w:rFonts w:ascii="Times New Roman" w:hAnsi="Times New Roman" w:eastAsia="黑体" w:cs="黑体"/>
      <w:kern w:val="0"/>
      <w:szCs w:val="21"/>
    </w:rPr>
  </w:style>
  <w:style w:type="table" w:customStyle="1" w:styleId="94">
    <w:name w:val="网格型1"/>
    <w:basedOn w:val="38"/>
    <w:qFormat/>
    <w:uiPriority w:val="99"/>
    <w:rPr>
      <w:rFonts w:ascii="Calibri" w:hAnsi="Calibri" w:eastAsia="宋体"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5">
    <w:name w:val="列项（——） 字符"/>
    <w:basedOn w:val="33"/>
    <w:link w:val="91"/>
    <w:qFormat/>
    <w:uiPriority w:val="0"/>
    <w:rPr>
      <w:rFonts w:ascii="Times New Roman" w:hAnsi="Times New Roman" w:eastAsia="宋体" w:cs="黑体"/>
      <w:kern w:val="0"/>
      <w:szCs w:val="21"/>
      <w:lang w:val="en-US" w:eastAsia="zh-CN"/>
    </w:rPr>
  </w:style>
  <w:style w:type="paragraph" w:customStyle="1" w:styleId="96">
    <w:name w:val="正文公式"/>
    <w:basedOn w:val="1"/>
    <w:link w:val="98"/>
    <w:qFormat/>
    <w:uiPriority w:val="0"/>
    <w:pPr>
      <w:tabs>
        <w:tab w:val="center" w:pos="2520"/>
        <w:tab w:val="right" w:pos="5040"/>
      </w:tabs>
      <w:adjustRightInd/>
      <w:spacing w:line="240" w:lineRule="auto"/>
      <w:jc w:val="center"/>
    </w:pPr>
    <w:rPr>
      <w:rFonts w:ascii="宋体" w:hAnsi="宋体" w:cs="宋体"/>
      <w:szCs w:val="18"/>
    </w:rPr>
  </w:style>
  <w:style w:type="paragraph" w:customStyle="1" w:styleId="97">
    <w:name w:val="正文公式1"/>
    <w:basedOn w:val="56"/>
    <w:next w:val="56"/>
    <w:qFormat/>
    <w:uiPriority w:val="0"/>
    <w:pPr>
      <w:tabs>
        <w:tab w:val="center" w:pos="4200"/>
        <w:tab w:val="right" w:leader="dot" w:pos="9030"/>
      </w:tabs>
      <w:ind w:firstLine="0" w:firstLineChars="0"/>
      <w:jc w:val="left"/>
    </w:pPr>
  </w:style>
  <w:style w:type="character" w:customStyle="1" w:styleId="98">
    <w:name w:val="正文公式 字符"/>
    <w:basedOn w:val="33"/>
    <w:link w:val="96"/>
    <w:qFormat/>
    <w:uiPriority w:val="0"/>
    <w:rPr>
      <w:rFonts w:ascii="宋体" w:hAnsi="宋体" w:eastAsia="宋体" w:cs="宋体"/>
      <w:szCs w:val="18"/>
    </w:rPr>
  </w:style>
  <w:style w:type="character" w:customStyle="1" w:styleId="99">
    <w:name w:val="批注文字 字符1"/>
    <w:link w:val="13"/>
    <w:qFormat/>
    <w:uiPriority w:val="0"/>
    <w:rPr>
      <w:szCs w:val="24"/>
    </w:rPr>
  </w:style>
  <w:style w:type="character" w:customStyle="1" w:styleId="100">
    <w:name w:val="批注文字 字符"/>
    <w:basedOn w:val="33"/>
    <w:semiHidden/>
    <w:qFormat/>
    <w:uiPriority w:val="99"/>
    <w:rPr>
      <w:rFonts w:ascii="Calibri" w:hAnsi="Calibri" w:eastAsia="宋体" w:cs="Calibri"/>
      <w:szCs w:val="21"/>
    </w:rPr>
  </w:style>
  <w:style w:type="paragraph" w:customStyle="1" w:styleId="101">
    <w:name w:val="附录标识"/>
    <w:basedOn w:val="1"/>
    <w:next w:val="56"/>
    <w:link w:val="104"/>
    <w:qFormat/>
    <w:uiPriority w:val="0"/>
    <w:pPr>
      <w:keepNext/>
      <w:widowControl/>
      <w:shd w:val="clear" w:color="FFFFFF" w:fill="FFFFFF"/>
      <w:tabs>
        <w:tab w:val="left" w:pos="360"/>
        <w:tab w:val="left" w:pos="6405"/>
      </w:tabs>
      <w:adjustRightInd/>
      <w:spacing w:before="640" w:after="280" w:line="240" w:lineRule="auto"/>
      <w:jc w:val="center"/>
      <w:outlineLvl w:val="0"/>
    </w:pPr>
    <w:rPr>
      <w:rFonts w:ascii="黑体" w:hAnsi="Times New Roman" w:eastAsia="黑体" w:cs="Times New Roman"/>
      <w:kern w:val="0"/>
      <w:szCs w:val="20"/>
    </w:rPr>
  </w:style>
  <w:style w:type="paragraph" w:customStyle="1" w:styleId="102">
    <w:name w:val="附录标题"/>
    <w:basedOn w:val="101"/>
    <w:next w:val="56"/>
    <w:link w:val="105"/>
    <w:qFormat/>
    <w:uiPriority w:val="0"/>
    <w:pPr>
      <w:numPr>
        <w:ilvl w:val="0"/>
        <w:numId w:val="5"/>
      </w:numPr>
      <w:spacing w:after="360" w:line="360" w:lineRule="exact"/>
    </w:pPr>
  </w:style>
  <w:style w:type="paragraph" w:customStyle="1" w:styleId="103">
    <w:name w:val="附录章标题"/>
    <w:basedOn w:val="102"/>
    <w:next w:val="56"/>
    <w:link w:val="107"/>
    <w:qFormat/>
    <w:uiPriority w:val="0"/>
    <w:pPr>
      <w:numPr>
        <w:ilvl w:val="1"/>
      </w:numPr>
      <w:tabs>
        <w:tab w:val="clear" w:pos="360"/>
        <w:tab w:val="clear" w:pos="6405"/>
      </w:tabs>
      <w:spacing w:beforeLines="100" w:afterLines="100" w:line="240" w:lineRule="auto"/>
      <w:jc w:val="left"/>
    </w:pPr>
  </w:style>
  <w:style w:type="character" w:customStyle="1" w:styleId="104">
    <w:name w:val="附录标识 字符"/>
    <w:basedOn w:val="33"/>
    <w:link w:val="101"/>
    <w:qFormat/>
    <w:uiPriority w:val="0"/>
    <w:rPr>
      <w:rFonts w:ascii="黑体" w:hAnsi="Times New Roman" w:eastAsia="黑体" w:cs="Times New Roman"/>
      <w:kern w:val="0"/>
      <w:szCs w:val="20"/>
      <w:shd w:val="clear" w:color="FFFFFF" w:fill="FFFFFF"/>
    </w:rPr>
  </w:style>
  <w:style w:type="character" w:customStyle="1" w:styleId="105">
    <w:name w:val="附录标题 字符"/>
    <w:basedOn w:val="104"/>
    <w:link w:val="102"/>
    <w:qFormat/>
    <w:uiPriority w:val="0"/>
    <w:rPr>
      <w:rFonts w:ascii="黑体" w:hAnsi="Times New Roman" w:eastAsia="黑体" w:cs="Times New Roman"/>
      <w:kern w:val="0"/>
      <w:szCs w:val="20"/>
      <w:shd w:val="clear" w:color="FFFFFF" w:fill="FFFFFF"/>
    </w:rPr>
  </w:style>
  <w:style w:type="paragraph" w:customStyle="1" w:styleId="106">
    <w:name w:val="标准文件_正文图标题"/>
    <w:next w:val="1"/>
    <w:qFormat/>
    <w:uiPriority w:val="99"/>
    <w:pPr>
      <w:numPr>
        <w:ilvl w:val="0"/>
        <w:numId w:val="6"/>
      </w:numPr>
      <w:jc w:val="center"/>
    </w:pPr>
    <w:rPr>
      <w:rFonts w:ascii="黑体" w:hAnsi="Times New Roman" w:eastAsia="黑体" w:cs="黑体"/>
      <w:sz w:val="21"/>
      <w:szCs w:val="21"/>
      <w:lang w:val="en-US" w:eastAsia="zh-CN" w:bidi="ar-SA"/>
    </w:rPr>
  </w:style>
  <w:style w:type="character" w:customStyle="1" w:styleId="107">
    <w:name w:val="附录章标题 字符"/>
    <w:basedOn w:val="105"/>
    <w:link w:val="103"/>
    <w:qFormat/>
    <w:uiPriority w:val="0"/>
    <w:rPr>
      <w:rFonts w:ascii="黑体" w:hAnsi="Times New Roman" w:eastAsia="黑体" w:cs="Times New Roman"/>
      <w:kern w:val="0"/>
      <w:szCs w:val="20"/>
      <w:shd w:val="clear" w:color="FFFFFF" w:fill="FFFFFF"/>
    </w:rPr>
  </w:style>
  <w:style w:type="paragraph" w:customStyle="1" w:styleId="108">
    <w:name w:val="正文图标题"/>
    <w:next w:val="56"/>
    <w:qFormat/>
    <w:uiPriority w:val="99"/>
    <w:pPr>
      <w:tabs>
        <w:tab w:val="left" w:pos="360"/>
      </w:tabs>
      <w:spacing w:beforeLines="50" w:afterLines="50"/>
      <w:ind w:left="823" w:hanging="420"/>
      <w:jc w:val="center"/>
    </w:pPr>
    <w:rPr>
      <w:rFonts w:ascii="黑体" w:hAnsi="Times New Roman" w:eastAsia="黑体" w:cs="黑体"/>
      <w:sz w:val="21"/>
      <w:szCs w:val="21"/>
      <w:lang w:val="en-US" w:eastAsia="zh-CN" w:bidi="ar-SA"/>
    </w:rPr>
  </w:style>
  <w:style w:type="paragraph" w:customStyle="1" w:styleId="109">
    <w:name w:val="标准称谓"/>
    <w:next w:val="1"/>
    <w:qFormat/>
    <w:uiPriority w:val="99"/>
    <w:pPr>
      <w:framePr w:w="9638" w:h="754" w:hRule="exact" w:hSpace="180" w:vSpace="180" w:wrap="around" w:vAnchor="page" w:hAnchor="margin" w:xAlign="center" w:y="2128" w:anchorLock="1"/>
      <w:widowControl w:val="0"/>
      <w:kinsoku w:val="0"/>
      <w:overflowPunct w:val="0"/>
      <w:autoSpaceDE w:val="0"/>
      <w:autoSpaceDN w:val="0"/>
      <w:spacing w:line="240" w:lineRule="atLeast"/>
      <w:jc w:val="distribute"/>
    </w:pPr>
    <w:rPr>
      <w:rFonts w:ascii="宋体" w:hAnsi="Times New Roman" w:eastAsia="宋体" w:cs="宋体"/>
      <w:b/>
      <w:bCs/>
      <w:w w:val="148"/>
      <w:sz w:val="52"/>
      <w:szCs w:val="52"/>
      <w:lang w:val="en-US" w:eastAsia="zh-CN" w:bidi="ar-SA"/>
    </w:rPr>
  </w:style>
  <w:style w:type="paragraph" w:customStyle="1" w:styleId="110">
    <w:name w:val="标准文件_页脚偶数页"/>
    <w:qFormat/>
    <w:uiPriority w:val="99"/>
    <w:rPr>
      <w:rFonts w:ascii="宋体" w:hAnsi="Times New Roman" w:eastAsia="宋体" w:cs="宋体"/>
      <w:sz w:val="18"/>
      <w:szCs w:val="18"/>
      <w:lang w:val="en-US" w:eastAsia="zh-CN" w:bidi="ar-SA"/>
    </w:rPr>
  </w:style>
  <w:style w:type="paragraph" w:customStyle="1" w:styleId="111">
    <w:name w:val="附录一级条标题"/>
    <w:basedOn w:val="103"/>
    <w:next w:val="56"/>
    <w:link w:val="112"/>
    <w:qFormat/>
    <w:uiPriority w:val="0"/>
    <w:pPr>
      <w:numPr>
        <w:ilvl w:val="2"/>
      </w:numPr>
      <w:spacing w:beforeLines="50" w:afterLines="50"/>
    </w:pPr>
  </w:style>
  <w:style w:type="character" w:customStyle="1" w:styleId="112">
    <w:name w:val="附录一级条标题 字符"/>
    <w:basedOn w:val="107"/>
    <w:link w:val="111"/>
    <w:qFormat/>
    <w:uiPriority w:val="0"/>
    <w:rPr>
      <w:rFonts w:ascii="黑体" w:hAnsi="Times New Roman" w:eastAsia="黑体" w:cs="Times New Roman"/>
      <w:kern w:val="0"/>
      <w:szCs w:val="20"/>
      <w:shd w:val="clear" w:color="FFFFFF" w:fill="FFFFFF"/>
    </w:rPr>
  </w:style>
  <w:style w:type="paragraph" w:customStyle="1" w:styleId="113">
    <w:name w:val="附录图标题"/>
    <w:basedOn w:val="102"/>
    <w:next w:val="56"/>
    <w:link w:val="115"/>
    <w:qFormat/>
    <w:uiPriority w:val="0"/>
    <w:pPr>
      <w:numPr>
        <w:ilvl w:val="0"/>
        <w:numId w:val="7"/>
      </w:numPr>
      <w:spacing w:beforeLines="50" w:afterLines="50" w:line="240" w:lineRule="auto"/>
    </w:pPr>
    <w:rPr>
      <w:rFonts w:ascii="Times New Roman"/>
    </w:rPr>
  </w:style>
  <w:style w:type="paragraph" w:customStyle="1" w:styleId="114">
    <w:name w:val="附录表标题"/>
    <w:basedOn w:val="1"/>
    <w:next w:val="56"/>
    <w:qFormat/>
    <w:uiPriority w:val="0"/>
    <w:pPr>
      <w:tabs>
        <w:tab w:val="left" w:pos="180"/>
      </w:tabs>
      <w:adjustRightInd/>
      <w:spacing w:beforeLines="50" w:afterLines="50" w:line="240" w:lineRule="auto"/>
      <w:jc w:val="center"/>
    </w:pPr>
    <w:rPr>
      <w:rFonts w:ascii="黑体" w:hAnsi="Times New Roman" w:eastAsia="黑体" w:cs="Times New Roman"/>
    </w:rPr>
  </w:style>
  <w:style w:type="character" w:customStyle="1" w:styleId="115">
    <w:name w:val="附录图标题 字符"/>
    <w:basedOn w:val="105"/>
    <w:link w:val="113"/>
    <w:qFormat/>
    <w:uiPriority w:val="0"/>
    <w:rPr>
      <w:rFonts w:ascii="Times New Roman" w:hAnsi="Times New Roman" w:eastAsia="黑体" w:cs="Times New Roman"/>
      <w:kern w:val="0"/>
      <w:szCs w:val="20"/>
      <w:shd w:val="clear" w:color="FFFFFF" w:fill="FFFFFF"/>
    </w:rPr>
  </w:style>
  <w:style w:type="paragraph" w:customStyle="1" w:styleId="116">
    <w:name w:val="样式1"/>
    <w:basedOn w:val="101"/>
    <w:next w:val="56"/>
    <w:link w:val="117"/>
    <w:qFormat/>
    <w:uiPriority w:val="0"/>
    <w:pPr>
      <w:spacing w:before="312" w:after="312"/>
    </w:pPr>
  </w:style>
  <w:style w:type="character" w:customStyle="1" w:styleId="117">
    <w:name w:val="样式1 字符"/>
    <w:basedOn w:val="104"/>
    <w:link w:val="116"/>
    <w:qFormat/>
    <w:uiPriority w:val="0"/>
    <w:rPr>
      <w:rFonts w:ascii="黑体" w:hAnsi="Times New Roman" w:eastAsia="黑体" w:cs="Times New Roman"/>
      <w:kern w:val="0"/>
      <w:szCs w:val="20"/>
      <w:shd w:val="clear" w:color="FFFFFF" w:fill="FFFFFF"/>
    </w:rPr>
  </w:style>
  <w:style w:type="paragraph" w:customStyle="1" w:styleId="118">
    <w:name w:val="附录图标题1"/>
    <w:basedOn w:val="26"/>
    <w:next w:val="56"/>
    <w:link w:val="120"/>
    <w:qFormat/>
    <w:uiPriority w:val="0"/>
    <w:pPr>
      <w:spacing w:beforeLines="50" w:afterLines="50" w:line="240" w:lineRule="auto"/>
    </w:pPr>
    <w:rPr>
      <w:rFonts w:ascii="Times New Roman" w:hAnsi="Times New Roman" w:eastAsia="黑体"/>
      <w:b w:val="0"/>
      <w:sz w:val="21"/>
    </w:rPr>
  </w:style>
  <w:style w:type="paragraph" w:customStyle="1" w:styleId="119">
    <w:name w:val="附录表标题1"/>
    <w:basedOn w:val="118"/>
    <w:next w:val="56"/>
    <w:link w:val="121"/>
    <w:qFormat/>
    <w:uiPriority w:val="0"/>
    <w:pPr>
      <w:spacing w:before="50" w:after="50"/>
    </w:pPr>
  </w:style>
  <w:style w:type="character" w:customStyle="1" w:styleId="120">
    <w:name w:val="附录图标题1 字符"/>
    <w:basedOn w:val="57"/>
    <w:link w:val="118"/>
    <w:qFormat/>
    <w:uiPriority w:val="0"/>
    <w:rPr>
      <w:rFonts w:ascii="Times New Roman" w:hAnsi="Times New Roman" w:eastAsia="黑体"/>
      <w:b w:val="0"/>
      <w:kern w:val="28"/>
      <w:sz w:val="32"/>
      <w:szCs w:val="32"/>
    </w:rPr>
  </w:style>
  <w:style w:type="character" w:customStyle="1" w:styleId="121">
    <w:name w:val="附录表标题1 字符"/>
    <w:basedOn w:val="120"/>
    <w:link w:val="119"/>
    <w:qFormat/>
    <w:uiPriority w:val="0"/>
    <w:rPr>
      <w:rFonts w:ascii="Times New Roman" w:hAnsi="Times New Roman" w:eastAsia="黑体"/>
      <w:kern w:val="28"/>
      <w:sz w:val="32"/>
      <w:szCs w:val="32"/>
    </w:rPr>
  </w:style>
  <w:style w:type="paragraph" w:customStyle="1" w:styleId="122">
    <w:name w:val="参考文献、索引"/>
    <w:basedOn w:val="59"/>
    <w:next w:val="56"/>
    <w:link w:val="123"/>
    <w:qFormat/>
    <w:uiPriority w:val="0"/>
    <w:pPr>
      <w:spacing w:after="284"/>
    </w:pPr>
    <w:rPr>
      <w:rFonts w:ascii="黑体"/>
      <w:sz w:val="21"/>
    </w:rPr>
  </w:style>
  <w:style w:type="character" w:customStyle="1" w:styleId="123">
    <w:name w:val="参考文献、索引 字符"/>
    <w:basedOn w:val="60"/>
    <w:link w:val="122"/>
    <w:qFormat/>
    <w:uiPriority w:val="0"/>
    <w:rPr>
      <w:rFonts w:ascii="黑体" w:eastAsia="黑体" w:hAnsiTheme="majorHAnsi" w:cstheme="majorBidi"/>
      <w:sz w:val="32"/>
      <w:szCs w:val="32"/>
    </w:rPr>
  </w:style>
  <w:style w:type="character" w:customStyle="1" w:styleId="124">
    <w:name w:val="未处理的提及1"/>
    <w:basedOn w:val="33"/>
    <w:unhideWhenUsed/>
    <w:qFormat/>
    <w:uiPriority w:val="99"/>
    <w:rPr>
      <w:color w:val="605E5C"/>
      <w:shd w:val="clear" w:color="auto" w:fill="E1DFDD"/>
    </w:rPr>
  </w:style>
  <w:style w:type="paragraph" w:customStyle="1" w:styleId="125">
    <w:name w:val="列表段落1"/>
    <w:basedOn w:val="1"/>
    <w:unhideWhenUsed/>
    <w:qFormat/>
    <w:uiPriority w:val="99"/>
    <w:pPr>
      <w:ind w:firstLine="420" w:firstLineChars="200"/>
    </w:pPr>
  </w:style>
  <w:style w:type="character" w:customStyle="1" w:styleId="126">
    <w:name w:val="批注主题 字符"/>
    <w:basedOn w:val="99"/>
    <w:link w:val="12"/>
    <w:semiHidden/>
    <w:qFormat/>
    <w:uiPriority w:val="99"/>
    <w:rPr>
      <w:rFonts w:ascii="Calibri" w:hAnsi="Calibri" w:eastAsia="宋体" w:cs="Calibri"/>
      <w:b/>
      <w:bCs/>
      <w:kern w:val="2"/>
      <w:sz w:val="21"/>
      <w:szCs w:val="21"/>
    </w:rPr>
  </w:style>
  <w:style w:type="paragraph" w:customStyle="1" w:styleId="127">
    <w:name w:val="Default"/>
    <w:qFormat/>
    <w:uiPriority w:val="0"/>
    <w:pPr>
      <w:widowControl w:val="0"/>
      <w:autoSpaceDE w:val="0"/>
      <w:autoSpaceDN w:val="0"/>
      <w:adjustRightInd w:val="0"/>
    </w:pPr>
    <w:rPr>
      <w:rFonts w:ascii="黑体" w:hAnsi="黑体" w:eastAsia="宋体" w:cs="黑体"/>
      <w:color w:val="000000"/>
      <w:sz w:val="24"/>
      <w:szCs w:val="24"/>
      <w:lang w:val="en-US" w:eastAsia="zh-CN" w:bidi="ar-SA"/>
    </w:rPr>
  </w:style>
  <w:style w:type="character" w:customStyle="1" w:styleId="128">
    <w:name w:val="页脚 字符1"/>
    <w:qFormat/>
    <w:uiPriority w:val="99"/>
    <w:rPr>
      <w:rFonts w:ascii="Times New Roman" w:hAnsi="Times New Roman" w:eastAsia="宋体" w:cs="Times New Roman"/>
      <w:sz w:val="18"/>
      <w:szCs w:val="18"/>
    </w:rPr>
  </w:style>
  <w:style w:type="character" w:customStyle="1" w:styleId="129">
    <w:name w:val="正文文本缩进 字符"/>
    <w:basedOn w:val="33"/>
    <w:link w:val="15"/>
    <w:semiHidden/>
    <w:qFormat/>
    <w:uiPriority w:val="99"/>
    <w:rPr>
      <w:rFonts w:ascii="Calibri" w:hAnsi="Calibri" w:eastAsia="宋体" w:cs="Calibri"/>
      <w:kern w:val="2"/>
      <w:sz w:val="21"/>
      <w:szCs w:val="21"/>
    </w:rPr>
  </w:style>
  <w:style w:type="character" w:customStyle="1" w:styleId="130">
    <w:name w:val="正文文本首行缩进 2 字符"/>
    <w:basedOn w:val="129"/>
    <w:link w:val="22"/>
    <w:uiPriority w:val="99"/>
    <w:rPr>
      <w:rFonts w:ascii="Times New Roman" w:hAnsi="Times New Roman" w:eastAsia="仿宋_GB2312" w:cs="Times New Roman"/>
      <w:kern w:val="2"/>
      <w:sz w:val="32"/>
      <w:szCs w:val="24"/>
    </w:rPr>
  </w:style>
  <w:style w:type="character" w:customStyle="1" w:styleId="131">
    <w:name w:val="正文1 Char"/>
    <w:link w:val="132"/>
    <w:qFormat/>
    <w:uiPriority w:val="0"/>
    <w:rPr>
      <w:rFonts w:ascii="Times New Roman" w:hAnsi="Times New Roman"/>
      <w:iCs/>
      <w:sz w:val="24"/>
      <w:szCs w:val="24"/>
    </w:rPr>
  </w:style>
  <w:style w:type="paragraph" w:customStyle="1" w:styleId="132">
    <w:name w:val="正文1"/>
    <w:basedOn w:val="1"/>
    <w:link w:val="131"/>
    <w:qFormat/>
    <w:uiPriority w:val="0"/>
    <w:pPr>
      <w:autoSpaceDE w:val="0"/>
      <w:autoSpaceDN w:val="0"/>
      <w:spacing w:line="360" w:lineRule="auto"/>
      <w:ind w:firstLine="480" w:firstLineChars="200"/>
      <w:jc w:val="left"/>
    </w:pPr>
    <w:rPr>
      <w:rFonts w:ascii="Times New Roman" w:hAnsi="Times New Roman" w:eastAsiaTheme="minorEastAsia" w:cstheme="minorBidi"/>
      <w:iCs/>
      <w:kern w:val="0"/>
      <w:sz w:val="24"/>
      <w:szCs w:val="24"/>
    </w:rPr>
  </w:style>
  <w:style w:type="paragraph" w:customStyle="1" w:styleId="133">
    <w:name w:val="Table Paragraph"/>
    <w:basedOn w:val="1"/>
    <w:qFormat/>
    <w:uiPriority w:val="0"/>
    <w:pPr>
      <w:autoSpaceDE w:val="0"/>
      <w:autoSpaceDN w:val="0"/>
      <w:adjustRightInd/>
      <w:spacing w:line="360" w:lineRule="auto"/>
      <w:ind w:firstLine="200" w:firstLineChars="200"/>
      <w:jc w:val="left"/>
    </w:pPr>
    <w:rPr>
      <w:rFonts w:ascii="宋体" w:hAnsi="宋体" w:cs="宋体"/>
      <w:kern w:val="0"/>
      <w:sz w:val="22"/>
      <w:szCs w:val="22"/>
      <w:lang w:eastAsia="en-US"/>
    </w:rPr>
  </w:style>
  <w:style w:type="paragraph" w:customStyle="1" w:styleId="134">
    <w:name w:val="表格"/>
    <w:basedOn w:val="1"/>
    <w:link w:val="136"/>
    <w:qFormat/>
    <w:uiPriority w:val="0"/>
    <w:pPr>
      <w:adjustRightInd/>
      <w:spacing w:line="240" w:lineRule="auto"/>
      <w:jc w:val="center"/>
    </w:pPr>
    <w:rPr>
      <w:rFonts w:ascii="Times New Roman" w:hAnsi="Times New Roman" w:cs="Times New Roman"/>
      <w:szCs w:val="24"/>
    </w:rPr>
  </w:style>
  <w:style w:type="paragraph" w:customStyle="1" w:styleId="135">
    <w:name w:val="正文3"/>
    <w:basedOn w:val="1"/>
    <w:link w:val="137"/>
    <w:qFormat/>
    <w:uiPriority w:val="0"/>
    <w:pPr>
      <w:adjustRightInd/>
      <w:snapToGrid w:val="0"/>
      <w:spacing w:line="360" w:lineRule="auto"/>
      <w:ind w:firstLine="200" w:firstLineChars="200"/>
    </w:pPr>
    <w:rPr>
      <w:rFonts w:ascii="Times New Roman" w:hAnsi="Times New Roman" w:eastAsia="Times New Roman" w:cs="Times New Roman"/>
      <w:color w:val="000000"/>
      <w:kern w:val="0"/>
    </w:rPr>
  </w:style>
  <w:style w:type="character" w:customStyle="1" w:styleId="136">
    <w:name w:val="表格 Char"/>
    <w:link w:val="134"/>
    <w:qFormat/>
    <w:uiPriority w:val="0"/>
    <w:rPr>
      <w:rFonts w:ascii="Times New Roman" w:hAnsi="Times New Roman" w:eastAsia="宋体" w:cs="Times New Roman"/>
      <w:kern w:val="2"/>
      <w:sz w:val="21"/>
      <w:szCs w:val="24"/>
    </w:rPr>
  </w:style>
  <w:style w:type="character" w:customStyle="1" w:styleId="137">
    <w:name w:val="正文3 Char"/>
    <w:link w:val="135"/>
    <w:qFormat/>
    <w:uiPriority w:val="0"/>
    <w:rPr>
      <w:rFonts w:ascii="Times New Roman" w:hAnsi="Times New Roman" w:eastAsia="Times New Roman" w:cs="Times New Roman"/>
      <w:color w:val="000000"/>
      <w:sz w:val="21"/>
      <w:szCs w:val="21"/>
    </w:rPr>
  </w:style>
  <w:style w:type="character" w:customStyle="1" w:styleId="138">
    <w:name w:val="日期 字符"/>
    <w:basedOn w:val="33"/>
    <w:link w:val="19"/>
    <w:semiHidden/>
    <w:qFormat/>
    <w:uiPriority w:val="99"/>
    <w:rPr>
      <w:rFonts w:ascii="Calibri" w:hAnsi="Calibri" w:eastAsia="宋体" w:cs="Calibri"/>
      <w:kern w:val="2"/>
      <w:sz w:val="21"/>
      <w:szCs w:val="21"/>
    </w:rPr>
  </w:style>
  <w:style w:type="paragraph" w:customStyle="1" w:styleId="139">
    <w:name w:val="TOC Heading"/>
    <w:basedOn w:val="3"/>
    <w:next w:val="1"/>
    <w:unhideWhenUsed/>
    <w:qFormat/>
    <w:uiPriority w:val="39"/>
    <w:pPr>
      <w:widowControl/>
      <w:adjustRightInd/>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2.xml"/><Relationship Id="rId8" Type="http://schemas.openxmlformats.org/officeDocument/2006/relationships/header" Target="header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10.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CBD4ABC-2AAB-4295-B389-7758A20EDE40}">
  <ds:schemaRefs/>
</ds:datastoreItem>
</file>

<file path=docProps/app.xml><?xml version="1.0" encoding="utf-8"?>
<Properties xmlns="http://schemas.openxmlformats.org/officeDocument/2006/extended-properties" xmlns:vt="http://schemas.openxmlformats.org/officeDocument/2006/docPropsVTypes">
  <Template>Normal</Template>
  <Company>HP</Company>
  <Pages>27</Pages>
  <Words>1444</Words>
  <Characters>8233</Characters>
  <Lines>68</Lines>
  <Paragraphs>19</Paragraphs>
  <TotalTime>3</TotalTime>
  <ScaleCrop>false</ScaleCrop>
  <LinksUpToDate>false</LinksUpToDate>
  <CharactersWithSpaces>9658</CharactersWithSpaces>
  <Application>WPS Office_10.8.2.7098_F1E327BC-269C-435d-A152-05C5408002CA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2021-07-22T09:33:00Z</dcterms:created>
  <dc:creator>段彦芳</dc:creator>
  <cp:lastModifiedBy>田雨</cp:lastModifiedBy>
  <cp:lastPrinted>2021-09-18T06:20:00Z</cp:lastPrinted>
  <dcterms:modified xsi:type="dcterms:W3CDTF">2021-12-24T07:13:06Z</dcterms:modified>
  <cp:revision>865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2052-10.8.2.7098</vt:lpwstr>
  </property>
  <property fmtid="{D5CDD505-2E9C-101B-9397-08002B2CF9AE}" pid="3" name="ribbonExt">
    <vt:lpwstr>{"WPSExtOfficeTab":{"OnGetEnabled":false,"OnGetVisible":false}}</vt:lpwstr>
  </property>
</Properties>
</file>